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A-1917/2021 vom 9. März 2023</w:t>
      </w:r>
    </w:p>
    <w:p>
      <w:r>
        <w:t>Bundesverwaltungsgericht, 2023-03-09, DE</w:t>
      </w:r>
    </w:p>
    <w:p>
      <w:r>
        <w:rPr>
          <w:b/>
        </w:rPr>
        <w:t xml:space="preserve">Quelle: </w:t>
      </w:r>
      <w:r>
        <w:t>https://mcp.opencaselaw.ch/entscheid/bvger_A-1917_2021</w:t>
      </w:r>
    </w:p>
    <w:p>
      <w:r>
        <w:t>FR: TAF A-1917/2021 du 9 mars 2023</w:t>
      </w:r>
    </w:p>
    <w:p>
      <w:r>
        <w:t>IT: TAF A-1917/2021 del 9 marzo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ist als Verfügungsadressat und Person,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2.1</w:t>
      </w:r>
    </w:p>
    <w:p>
      <w:r>
        <w:t>Das Bundesverwaltungsgericht kann den angefochtenen Entscheid in vollem Umfang überprüfen. Der Beschwerdeführer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3.1</w:t>
      </w:r>
    </w:p>
    <w:p>
      <w:r>
        <w:t>Der Beschwerdeführer hält zunächst die Eintretensvoraussetzungen für nicht gegeben, da er im niederländischen Amtshilfeersuchen eine «fishing expedition» erblickt. Dieses enthalte keine (genügenden) Anhaltspunkte, um einen (Global-)Verdacht zu begründen, die betroffenen Personen hätten ihre Steuerpflicht nicht erfüllt. Das Bundesverwaltungsgericht hat erwogen, dass keine verbotene «fishing expedition», welche ein Nichteintreten auf das Amtshilfeersuchen nach sich ziehen müsste, vorliege (Referenzurteil, E. 4.6; Urteil des BVGer A-6507/2020 vom 11. Oktober 2022 E. 3.7.2). In seinem Nichteintretens-entscheid 2C_872/2022 vom 8. November 2022 hat das Bundesgericht abermals ausgeführt, dass der Domizilcode in Listen, die von der Informationsinhaberin (Bank) geführt worden seien, einen hinreichenden Anknüpfungspunkt für eine potenzielle Steuerpflicht darstelle (dortige E. 4.2.2). Das Bundesverwaltungsgericht hat auch kein treuwidriges Verhalten der Niederlande erkannt (Referenzurteil, E. 4.5; Urteil des BVGer A-6507/2020 vom 11. Oktober 2022 E. 3.8.3). Demnach ist vorliegend weder eine «fishing expedition» noch ein treuwidriges Verhalten der Niederlande ersichtlich.</w:t>
      </w:r>
    </w:p>
    <w:p>
      <w:r>
        <w:rPr>
          <w:b/>
        </w:rPr>
        <w:t>E. 3.2</w:t>
      </w:r>
    </w:p>
    <w:p>
      <w:r>
        <w:t>Der Beschwerdeführer bestreitet zudem die voraussichtliche Erheblichkeit der ersuchten Informationen mangels niederländischen Bezugs. Er habe seinen Wohnsitz am [...] von den Niederlanden in die Schweiz verlegt und sei seither an der im Rubrum angegebenen Adresse wohnhaft. Damit fehle es für die Zeitspanne vom [...] bis Ende [...] offensichtlich bereits an der Anwendbarkeit des DBA CH-NL, weshalb auf das Ersuchen nicht einzutreten sei. Die erfragten Informationen seien daher für die Zeit nach dem Zuzug in die Schweiz für die niederländischen Steuerbehörden bereits zum vornherein nicht voraussichtlich erheblich und dürften auch deshalb nicht an die ersuchende Behörde herausgegeben werden. Das Bundesverwaltungsgericht hat die voraussichtliche Erheblichkeit der vom BD ersuchten Informationen bejaht (Referenzurteil, E. 4.12 ff.; Urteil des BVGer A-6507/2020 vom 11. Oktober 2022 E. 9.3.2). Wie schon erwähnt, stellt der Domizilcode in Listen, die von der Informationsinhaberin (Bank) geführt worden sind, einen hinreichenden Anknüpfungspunkt für eine potenzielle Steuerpflicht dar (E. 3.1).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Auch ist die Frage, ob ein (angeblich) unzutreffender Domizilcode als Anknüpfungspunkt für ein Verfahren der internationalen Amtshilfe dienen könne, bereits höchstrichterlich geklärt. Dies trifft insbesondere auch auf den Einwand zu, die persönliche Zugehörigkeit mit der damit einhergehenden unbeschränkten Steuerpflicht bestehe nicht im Ausland, sondern in der Schweiz (ausführlich: BGE 142 II 161 E. 2.2; Urteil des BGer 2C_872/2022 vom 8. November 2022 E. 4.2.3 m.w.H.). Die ersuchende Behörde geht vorliegend gestützt auf den Domizilcode - und damit gemäss vorstehend erwähnter höchstrichterlicher Rechtsprechung aufgrund eines hinreichenden Anhaltspunktes - von einer potenziellen Steuerpflicht im Sinn von Art. 4 DBA CH-NL des Beschwerdeführers in den Niederlanden aus. Auf diese Überprüfung hat sich der ersuchte Staat im Rahmen des Amtshilfeverfahrens in der vorliegenden Konstellation, wo gleichzeitig eine unbeschränkte Steuerpflicht des Beschwerdeführers in der Schweiz geltend gemacht wird, zu beschränken (BGE 142 II 161 E. 2.2; Urteil des BGer 2C_953/2020 vom 24. November 2021 E. 3.6). Eine potenzielle Doppelbesteuerung hat der Beschwerdeführer bei den dafür zuständigen Behörden im dafür vorgesehenen sog. Verständigungsverfahren zu rügen (vgl. Art. 25 DBA CH-NL; BGE 142 II 161 E. 2.2). Somit sind auch im vorliegenden Verfahren die zu übermittelnden Informationen voraussichtlich Erheblich zur Anwendung oder Durchsetzung des niederländischen Rechts im ersuchten Zeitraum (E. 2.3.2).</w:t>
      </w:r>
    </w:p>
    <w:p>
      <w:r>
        <w:rPr>
          <w:b/>
        </w:rPr>
        <w:t>E. 4</w:t>
      </w:r>
    </w:p>
    <w:p>
      <w:r>
        <w:t>Nach dem Gesagten sind die Voraussetzungen für die in der angefochtenen Schlussverfügung vom 23. November 2020 vorgesehene Amtshilfeleistung erfüllt. Die Beschwerde erweist sich als unbegründet und ist abzuweisen.</w:t>
      </w:r>
    </w:p>
    <w:p>
      <w:r>
        <w:rPr>
          <w:b/>
        </w:rPr>
        <w:t>E. 5.1</w:t>
      </w:r>
    </w:p>
    <w:p>
      <w:r>
        <w:t>Ausgangsgemäss hat der unterliegende Beschwerdeführer die Verfahrenskosten zu tragen (Art. 63 Abs. 1 VwVG). Diese sind angesichts verschiedener beim Bundesverwaltungsgericht hängiger Konnexverfahren (Urteil des BVGer A-6507/2020 vom 11. Oktober 2022 E. 1.4.2 und E. 5.1; Sachverhalt, Bst. F) mit teils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dem Beschwerdeführer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