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A-1917/2016 vom 3. August 2016</w:t>
      </w:r>
    </w:p>
    <w:p>
      <w:r>
        <w:t>Bundesverwaltungsgericht, 2016-08-03, DE</w:t>
      </w:r>
    </w:p>
    <w:p>
      <w:r>
        <w:rPr>
          <w:b/>
        </w:rPr>
        <w:t xml:space="preserve">Quelle: </w:t>
      </w:r>
      <w:r>
        <w:t>https://mcp.opencaselaw.ch/entscheid/bvger_A-1917_2016</w:t>
      </w:r>
    </w:p>
    <w:p>
      <w:r>
        <w:t>FR: TAF A-1917/2016 du 3 août 2016</w:t>
      </w:r>
    </w:p>
    <w:p>
      <w:r>
        <w:t>IT: TAF A-1917/2016 del 3 agosto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im Umkehrschluss).</w:t>
      </w:r>
    </w:p>
    <w:p>
      <w:r>
        <w:rPr>
          <w:b/>
        </w:rPr>
        <w:t>E. 1.2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Der Beschwerdeführer erfüllt die Voraussetzungen der Beschwerdebefugnis nach Art. 48 Abs. 1 VwVG und Art. 19 Abs. 2 StAhiG (vgl. in diesem Sinn letztlich auch BGE 139 II 404 E. 2.1 und 2.3 sowie die in BGE 139 II 451 nicht publizierte E. 1.4 des Urteils des BGer 2C_511/2013 vom 27. August 2013). Auf die form- und fristgerecht eingereichte Beschwerde ist einzutreten.</w:t>
      </w:r>
    </w:p>
    <w:p>
      <w:r>
        <w:rPr>
          <w:b/>
        </w:rPr>
        <w:t>E. 2.1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4.1; BGE 139 II 404 E. 9.3 mit Hinweis auf die Botschaft des Bundesrates vom 10. März 1997 über ein Doppelbesteuerungsabkommen mit den Vereinigten Staaten von Amerika, BBl 1997 II 1099; Urteile des BVGer A 5390/2013 vom 6. Januar 2014 E. 3.1, A 6011/2012 vom 13. März 2013 E. 4.1, A 5529/2008 vom 26. Januar 2009 E. 3).</w:t>
      </w:r>
    </w:p>
    <w:p>
      <w:r>
        <w:rPr>
          <w:b/>
        </w:rPr>
        <w:t>E. 2.2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2A.250/2001 vom 6. Februar 2002 E. 5a).</w:t>
      </w:r>
    </w:p>
    <w:p>
      <w:r>
        <w:rPr>
          <w:b/>
        </w:rPr>
        <w:t>E. 3.1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w:t>
      </w:r>
    </w:p>
    <w:p>
      <w:r>
        <w:rPr>
          <w:b/>
        </w:rPr>
        <w:t>E. 3.2</w:t>
      </w:r>
    </w:p>
    <w:p>
      <w:r>
        <w:t>Die ESTV hat sich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 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(BGE 139 II 451 E. 2.3.3; Urteile des BVGer A 5390/2013 vom 6. Januar 2014 E. 4, A 6011/2012 vom 13. März 2013 E. 5 m.w.H.).</w:t>
      </w:r>
    </w:p>
    <w:p>
      <w:r>
        <w:rPr>
          <w:b/>
        </w:rPr>
        <w:t>E. 3.3</w:t>
      </w:r>
    </w:p>
    <w:p>
      <w:r>
        <w:t>Auf das Ersuchen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wenn es auf Informationen beruht, die durch nach schweizerischem Recht strafbare Handlungen erlangt worden sind (Bst. c). Zur Beweisausforschung («fishing expedition») ist hier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139 II 451 E. 2.1 und 2.2.1; statt vieler: Urteil des BVGer A 5390/2013 vom 6. Januar 2014 E. 5.1.3).</w:t>
      </w:r>
    </w:p>
    <w:p>
      <w:r>
        <w:rPr>
          <w:b/>
        </w:rPr>
        <w:t>E. 4</w:t>
      </w:r>
    </w:p>
    <w:p>
      <w:r>
        <w:t>Nun ist auf die tatsächlichen Voraussetzungen einzugehen, die in Bezug auf ein Amtshilfeersuchen aus den USA erfüllt sein müssen. Da im vorliegenden Fall unbestritten ist, dass der Beschwerdeführer eine US-Person ist und der persönliche Geltungsbereich von Art. 26 Ziff. 1 DBA-USA 96 ebenfalls keine Probleme bereitet, wird nachfolgend nur der Begriff der «Betrugsdelikte und dergleichen» kurz beleuchtet (E. 4.1) und dann auf jenen der «wirtschaftlichen Berechtigung» (E. 4.2) eingegangen.</w:t>
      </w:r>
    </w:p>
    <w:p>
      <w:r>
        <w:rPr>
          <w:b/>
        </w:rPr>
        <w:t>E. 4.1.1</w:t>
      </w:r>
    </w:p>
    <w:p>
      <w:r>
        <w:t>Voraussetzung zur Gewährung der Amtshilfe ist unter anderem ein begründeter Verdacht auf «Betrugsdelikte und dergleichen» im Sinn von Art. 26 DBA-USA 96. Dieser Begriff ist nach ständiger Rechtsprechung vertragsautonom auszulegen. Er umfasst im Amtshilfebereich den Steuerbetrug (Art. 186 des Bundesgesetzes vom 14. Dezember 1990 über die direkte Bundessteuer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 des BVGer A 5390/2013 vom 6. Januar 2014 E. 6.1 f. mit Hinweisen). Was dies im Hinblick auf das «QI-System» bedeutet, muss hier - mit Blick auf den Verfahrensausgang - nicht näher beschrieben werden (dazu ausführlich BGE 139 II 404 E. 9.2 und E. 9.7 f.; statt vieler: Urteile des BVGer A-5390/2013 vom 6. Januar 2014 E. 6.5, A-737/2012 vom 5. April 2012 E. 7.5).</w:t>
      </w:r>
    </w:p>
    <w:p>
      <w:r>
        <w:rPr>
          <w:b/>
        </w:rPr>
        <w:t>E. 4.1.2</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Selbstständigkeit festlegt, es sei von einer transparenten Struktur auszugehen und es sei steuerlich nicht die juristische Person, sondern jemand Dritter als «Beneficial Owner» zu qualifizieren (E. 4.2). Soweit nicht derartige steuerrechtliche Spezialbestimmungen bestehen, ist auch steuerrechtlich von zwei getrennten Steuersubjekten auszugehen (Urteil des BVGer A-737/2012 vom 5. April 2012 E. 7.5.5 m.w.H.).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Selbstständigkeit als rechtsmissbräuchlich, als entgegen Treu und Glauben geltend gemacht (vgl. BGE 108 II 213 E. 6 mit Hinweisen; Urteil des BVGer A 7342/2008 und A 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 737/2012 vom 5. April 2012 E. 7.5.5 m.w.H., A 2866/2011 vom 12. Dezember 2011 E. 7.5.6).</w:t>
      </w:r>
    </w:p>
    <w:p>
      <w:r>
        <w:rPr>
          <w:b/>
        </w:rPr>
        <w:t>E. 4.1.3</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 7342/2008 und A 7426/2008 vom 5. März 2009 E. 5.5.2.4). Damit ist es grundsätzlich möglich, dass auf dem «Formular A» eine andere Person als wirtschaftlich berechtigte angegeben wird als auf dem Formular «W-8BEN», das den wirtschaftlich Berechtigten für US-Steuerzwecke identifiziert,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 des BVGer A-5390/2013 vom 6. Januar 2014 E. 6.5.6). Die Aussage im Urteil des Bundesverwaltungsgerichts A-6662/2010 vom 27. Juni 2011 E. 6.1-6.2, die von der ESTV herangezogen wird, bezog sich auf den konkreten Fall. Selbst dort wurde aber nur festgehalten, dass die ESTV insbesondere (also nicht etwa «ausschliesslich») aufgrund des «Formulars A» von der wirtschaftlichen Berechtigung der dort betroffenen Person ausgehen durfte. Soweit dort festgehalten wurde, dass nicht von Bedeutung sei, aus welchen Gründen der dortige Beschwerdeführer von der Bank als wirtschaftlich Berechtigter genannt wurde, sondern es sich vielmehr um eine Sachverhaltsannahme handle, welche vom Beschwerdeführer klarerweise und entscheidend zu entkräften sei, ist darauf hinzuweisen, dass die Sachverhaltsannahme sich auch in diesem Fall nicht ausschliesslich auf das «Formular A» stützte (unter anderem unterschrieb der dortige Beschwerdeführer sämtliche Zahlungsaufträge). Gleiches gilt für das Urteil des Bundesverwaltungsgerichts A-5974/2010 vom 14. Februar 2011 E. 4.2.1 f., zumal in letzterem Verfahren die Beschwerde gutgeheissen wurde. Dass das «Formular A» allein nicht genügt, damit die wirtschaftliche Berechtigung der darauf genannten Person angenommen wird, wurde vom Bundesverwaltungsgerichts in der Folge in zahlreichen Urteilen auch so bestätigt (statt vieler: das zuvor genannte Urteile des BVGer A 4695/2015 vom 2. März 2016 E. 5.3.5, A 5390/2013 vom 6. Januar 2014 E. 6.5.6, A-2866/2011 vom 12. Dezember 2011 E. 7.5.4 und 7.5.7).</w:t>
      </w:r>
    </w:p>
    <w:p>
      <w:r>
        <w:rPr>
          <w:b/>
        </w:rPr>
        <w:t>E. 4.2</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London/Den Haag/Boston 1997, Preface to Arts. 10-12, N. 8 f.; teilweise wiedergegeben in: Eric Kemmeren, in: Reimer/Rust [Hrsg.], Klaus Vogel On Double Taxation Conventions, Bd. 1, 4. Aufl., Alphen aan den Rijn/New York 2015, Preface to Arts 10 to 12, N. 41 mit weiterführenden Hinweisen in N. 42 ff. und N. 129 ff.).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aller: Urteile des BVGer A 6118/2011 vom 5. Januar 2012 E. 4.4, A 8003/2010 vom 24. Oktober 2011 E. 4.4, A 7429/2010 vom 16. September 2011 E. 7.3.1, A-2014/2011 vom 4. Au­gust 2011 E. 8.2.3).</w:t>
      </w:r>
    </w:p>
    <w:p>
      <w:r>
        <w:rPr>
          <w:b/>
        </w:rPr>
        <w:t>E. 5.1</w:t>
      </w:r>
    </w:p>
    <w:p>
      <w:r>
        <w:t>Das vorliegend zu beurteilende Amtshilfeersuchen erfüllt die formellen Voraussetzungen (vgl. E. 3.1). Dies wird grundsätzlich nicht bestritten, wobei der Beschwerdeführer die genügende Identifizierung der betroffenen Person in Frage stellt, dann aber nicht weiter darauf eingeht, da kein genügender Verdacht auf das Vorliegen von «Betrugsdelikten und dergleichen» bestehe. Im Übrigen hat das Bundesverwaltungsgericht in einem ähnlichen Fall festgestellt, dass die Angabe einer Fallnummer, die letztlich die eindeutige Identifikation der betroffenen Person(en) zulässt, genügt (Urteil des BVGer A-4695/2015 vom 2. März 2016 E. 6.3.2). Dass die übrigen Voraussetzungen erfüllt sind, ergibt sich zudem aus den Akten, weshalb darauf nicht weiter eingegangen werden muss.</w:t>
      </w:r>
    </w:p>
    <w:p>
      <w:r>
        <w:rPr>
          <w:b/>
        </w:rPr>
        <w:t>E. 5.2</w:t>
      </w:r>
    </w:p>
    <w:p>
      <w:r>
        <w:t>Zu prüfen ist, ob eine der in Art. 7 StAhiG genannten Konstellationen vorliegt. Denn, wäre dies der Fall, dürfte auf das Amtshilfeersuchen nicht eingetreten werden (E. 3.3). Nicht in Frage kommt dabei Art. 7 Bst. b StAhiG, denn die vom IRS erbetenen Informationen werden von den Amtshilfebestimmungen klarerweise umfasst. Unbestritten ist, dass die Informationen, auf denen das Ersuchen beruht, nicht unter Verletzung schweizerischen Rechts erlangt wurden. Letzteres wurde im Übrigen vom Bundesverwaltungsgericht in Bezug auf einen ähnlichen Fall bestätigt (Urteil des BVGer A-4695/2015 vom 2. März 2016 E. 6.4 ff.). Damit bleibt darauf einzugehen, ob es sich beim Amtshilfeersuchen des IRS um eine sogenannte «fishing expedition» handeln könnte (E. 3.3).</w:t>
      </w:r>
    </w:p>
    <w:p>
      <w:r>
        <w:rPr>
          <w:b/>
        </w:rPr>
        <w:t>E. 5.2.1</w:t>
      </w:r>
    </w:p>
    <w:p>
      <w:r>
        <w:t>Der Beschwerdeführer macht geltend, dem Amtshilfeersuchen sei kein begründeter Verdacht auf das Vorliegen von «Betrugsdelikten und dergleichen» zu entnehmen. Einerseits sei klar, dass der IRS nur die von der Bank übermittelten Charakteristika übernommen, diese in allgemeine Aussagen eingebettet und keine eigenen Nachforschungen angestellt habe. Hätte er eigene Angaben über den Kontoinhaber gehabt, hätte er selber feststellen können, dass die Charakteristika teilweise falsch seien. Andererseits genügten die im Amtshilfeersuchen aufgeführten Charakteristika nicht, um den Verdacht auf das Vorliegen von «Betrugsdelikten und dergleichen» zu begründen. So werde nicht beschrieben, inwieweit das «Spiel der Gesellschaft» nicht gespielt worden sei, welche Position der Beschwerdeführer innerhalb der Gesellschaft innegehabt hätte, und inwieweit Gelder entgegen den Interessen der Gesellschaft bezogen worden sein sollten. Es werde auch nicht dargelegt, dass und weshalb Bankformulare falsch ausgefüllt worden seien.</w:t>
      </w:r>
    </w:p>
    <w:p>
      <w:r>
        <w:rPr>
          <w:b/>
        </w:rPr>
        <w:t>E. 5.2.2</w:t>
      </w:r>
    </w:p>
    <w:p>
      <w:r>
        <w:t>Zunächst ist festzuhalten, dass der IRS keine weiteren Untersuchungen tätigen konnte, weil ihm dazu die Informationen fehlten. So bestätigt er im Amtshilfeersuchen denn auch zu Recht, dass er die üblichen Auskunftsquellen ausgeschöpft habe.</w:t>
      </w:r>
    </w:p>
    <w:p>
      <w:r>
        <w:rPr>
          <w:b/>
        </w:rPr>
        <w:t>E. 5.2.3</w:t>
      </w:r>
    </w:p>
    <w:p>
      <w:r>
        <w:t>Weiter hat sich die ESTV bei der Beantwortung der Frage, ob sie auf ein Amtshilfeersuchen eintritt, an den im Ersuchen umschriebenen Sachverhalt zu halten. Sie hat auch keine andere Möglichkeit, da sie in aller Regel weitere Informationen erst erhält, wenn sie auf das Ersuchen eintritt und solche Informationen von den Inhabern verlangt. Die ESTV hat dabei zunächst nur eine prima-facie-Prüfung durchzuführen, bevor sie auf ein Amtshilfeersuchen eintritt (E. 3.1).</w:t>
      </w:r>
    </w:p>
    <w:p>
      <w:r>
        <w:rPr>
          <w:b/>
        </w:rPr>
        <w:t>E. 5.2.4</w:t>
      </w:r>
    </w:p>
    <w:p>
      <w:r>
        <w:t>Aus dem im Ersuchen umschriebenen Sachverhalt ergibt sich ein Verdacht auf das Vorliegen von «Betrugsdelikten und dergleichen», wie nachfolgend zu zeigen ist, wobei darauf mit Blick auf das Ergebnis des vorliegenden Verfahrens nur kurz eingegangen wird: Gemäss dem im Amtshilfeersuchen beschriebenen Sachverhalt war auf dem «Formular A» der (namentlich noch nicht bekannte) Beschwerdeführer als wirtschaftlich Berechtigter am streitbetroffenen Konto angegeben. Zudem habe er dem Direktor der Gesellschaft, auf deren Namen das Konto gehalten wurde, Anweisungen erteilt. Auch seien grössere Summen an Familienmitglieder des Beschwerdeführers überwiesen worden sowie auf andere Konten, die im Namen derselben Gesellschaft gehalten worden seien. Da auf dem Konto US-Wertschriften gehalten worden seien und der wirtschaftlich Berechtigte eine US-Person sei - so das Amtshilfeersuchen zumindest sinngemäss - hätte gemäss dem QI-Agreement zumindest die «backup withholding tax» zurückbehalten werden müssen. Dies sei aber nicht geschehen. Auch seien notwendige Formulare in den Bankakten nicht vorhanden. Somit sei das Konto verschleiert worden.</w:t>
      </w:r>
    </w:p>
    <w:p>
      <w:r>
        <w:rPr>
          <w:b/>
        </w:rPr>
        <w:t>E. 5.2.5</w:t>
      </w:r>
    </w:p>
    <w:p>
      <w:r>
        <w:t>Hieraus ergibt sich, dass der IRS konkrete Angaben machen konnte, wie er durch das Vorschieben einer Tarngesellschaft getäuscht worden sei, auch wenn nicht alle Ausführungen im Ersuchen für die Frage, ob «Betrugsdelikte und dergleichen» vorliegen, relevant sind. Der Beschwerdeführer bringt vor, gewisse Angaben im Amtshilfeersuchen seien nicht korrekt (so ergibt sich aus den Akten, dass zwar tatsächlich kein Formular «W-8BEN» vorhanden ist, jedoch ein dazu äquivalentes Formular [Bankakten Paginiernummer ...; Beschwerdebeilage {nachfolgend: BB} 7], in welchem die Kontoinhaberin als wirtschaftlich Berechtigte angegeben wird). Dies schadet jedoch nicht. Das Amtshilfeersuchen dient ja erst dazu, offene Punkte zu klären, so dass Lücken oder kleinere Widersprüche zwischen dem Ersuchen und den Akten vorliegen dürfen (E. 3.3).</w:t>
      </w:r>
    </w:p>
    <w:p>
      <w:r>
        <w:rPr>
          <w:b/>
        </w:rPr>
        <w:t>E. 5.2.6</w:t>
      </w:r>
    </w:p>
    <w:p>
      <w:r>
        <w:t>Es handelt sich demnach beim hier zu beurteilenden Ersuchen des IRS um eine zulässige gezielte Anfrage, aus der klar hervorgeht, warum der IRS eine Person, die aufgrund der Angaben im Ersuchen zweifelsfrei identifiziert werden kann, verdächtigt, «Betrugsdelikte und dergleichen» begangen zu haben. Eine «fishing expedition» liegt gerade nicht vor. Auch widerspricht das Ersuchen nicht dem Verhältnismässigkeitsprinzip. Es ist nicht notwendig, dass der IRS im Ersuchen das konkrete Vorgehen detailliert nachzeichnet. Zu den konkreten Vorbringen des Beschwerdeführers (E. 5.2.1) kann in der gebotenen Kürze festgehalten werden, dass detailliertere Ausführungen des IRS nicht nötig sind. Die ESTV ist damit zurecht auf das Amtshilfeersuchen des IRS eingetreten und hat von der Bank weitere Auskünfte verlangt.</w:t>
      </w:r>
    </w:p>
    <w:p>
      <w:r>
        <w:rPr>
          <w:b/>
        </w:rPr>
        <w:t>E. 5.3</w:t>
      </w:r>
    </w:p>
    <w:p>
      <w:r>
        <w:t>Vorliegend ist vor allem bestritten, dass der Beschwerdeführer am streitbetroffenen Konto wirtschaftlich berechtigt gewesen sei. Die Situation stellt sich folgendermassen dar:</w:t>
      </w:r>
    </w:p>
    <w:p>
      <w:r>
        <w:rPr>
          <w:b/>
        </w:rPr>
        <w:t>E. 5.3.1</w:t>
      </w:r>
    </w:p>
    <w:p>
      <w:r>
        <w:t>Der Beschwerdeführer ist im «Formular A» als wirtschaftlich Berechtigter am streitbetroffenen Konto angegeben (Bankakten Paginiernummer [nachfolgend: PN] ...). Gleich anschliessend findet sich eine (alte) Passkopie des Beschwerdeführers in den Akten (PN ...). Treten nun weitere Elemente hinzu, die auf die wirtschaftliche Berechtigung des Beschwerdeführers hindeuten, wird angenommen, der Beschwerdeführer sei am Konto wirtschaftlich berechtigt (E. 4.1.3). Der Beschwerdeführer hat mit Schreiben vom [...] 2009 gegenüber der Bank eine vom Direktor und vom Sekretär der Gesellschaft zuvor der Bank erteilte Anweisung bestätigt (PN ...). Hierbei handelt es sich um das einzige Dokument, in dem belegt ist, dass der Beschwerdeführer mit der Bank in Bezug auf das streitbetroffene Konto in Kontakt trat. Allerdings erteilte der Beschwerdeführer der Bank keine Anweisungen (wie dies im Ersuchen steht), sondern bestätigte eine Weisung des Direktors und des Sekretärs der Gesellschaft vom gleichen Tag (PN ...). Nicht dargetan ist, dass der Beschwerdeführer in allfällige in Verletzung der corporate governance getätigte Überweisungen involviert war. Soweit ersichtlich wurden sämtliche Anweisungen an die Bank vom Direktor der Kontoinhaberin gegeben. Die ESTV stützt die Annahme, der Beschwerdeführer sei an der B._______ wirtschaftlich berechtigt weiter darauf, dieser sei alleiniger Begünstigter der Gesellschaft. Die ESTV verweist dabei auf eine Vereinbarung zwischen der Einkommenssteuerbehörde [...] auf der einen und unter anderem der B._______ auf der anderen Seite vom [...] 2013 (BB 14).</w:t>
      </w:r>
    </w:p>
    <w:p>
      <w:r>
        <w:rPr>
          <w:b/>
        </w:rPr>
        <w:t>E. 5.3.2</w:t>
      </w:r>
    </w:p>
    <w:p>
      <w:r>
        <w:t>Die Angaben im «Formular A» kombiniert mit der Bestätigung des Beschwerdeführers gegenüber der Bank, dass einer Anweisung des Direktor Folge zu leisten sei, sowie dem Umstand, dass der Beschwerdeführer in der gerade zuvor genannten Vereinbarung vom [...] 2013 als Begünstigter genannt wird, genügen, damit sich auch aus den Unterlagen die Vermutung ergibt, der Beschwerdeführer sei am streitbetroffenen Konto wirtschaftlich berechtigt gewesen.</w:t>
      </w:r>
    </w:p>
    <w:p>
      <w:r>
        <w:rPr>
          <w:b/>
        </w:rPr>
        <w:t>E. 5.4</w:t>
      </w:r>
    </w:p>
    <w:p>
      <w:r>
        <w:t>Mithin ist im Folgenden zu prüfen, ob der Beschwerdeführer diese Vermutung mittels Urkunden klarerweise und entscheidend entkräften kann.</w:t>
      </w:r>
    </w:p>
    <w:p>
      <w:r>
        <w:rPr>
          <w:b/>
        </w:rPr>
        <w:t>E. 5.4.1</w:t>
      </w:r>
    </w:p>
    <w:p>
      <w:r>
        <w:t>Der Beschwerdeführer macht geltend, er sei am fraglichen Konto nicht wirtschaftlich berechtigt. Weshalb er auf dem «Formular A» als wirtschaftlich berechtigte Person aufgeführt sei, wisse er nicht. Möglicherweise handle es sich um einen «copy-past-Fehler», der entstanden sei, als ein anderes Konto, an dem er (ebenfalls zu Unrecht) auf dem «Formular A» als wirtschaftlich berechtigte Person bezeichnet worden sei, auf das streitbetroffene Konto transferiert worden sei. Das genannte Bestätigungsschreiben vom [...] 2009 habe er verfasst, weil die Bank dies verlangt habe. Der Direktor und der Sekretär der Kontoinhaberin hatten gleichentags ein Schreiben an die Bank verfasst, in dem sie die Bank anwiesen, den genannten «Fund» zu übertragen (Bankakten Paginiernummer ...). Ohne Zustimmung des wirtschaftlich Berechtigten habe die Bank die Übertragung nicht vornehmen wollen. Gemäss «Formular A» sei der Beschwerdeführer wirtschaftlich Berechtigter gewesen und weil es einfacher gewesen sei, die gewünschte Unterschrift zu leisten als der Bank zu erklären, dass die Anweisung ohne eine Bestätigung gültig sei, habe der Beschwerdeführer auf Bitte des Direktors sein Einverständnis gegeben.</w:t>
      </w:r>
    </w:p>
    <w:p>
      <w:r>
        <w:rPr>
          <w:b/>
        </w:rPr>
        <w:t>E. 5.4.2</w:t>
      </w:r>
    </w:p>
    <w:p>
      <w:r>
        <w:t>Gegen Letzteres bringt die ESTV vor, spätestens an diesem [...] 2009 habe der Beschwerdeführer merken müssen, dass er auf dem «Formular A» als wirtschaftlich Berechtigter aufgeführt worden sei und es der Bank melden müssen, wenn dies tatsächlich zu Unrecht der Fall gewesen wäre.</w:t>
      </w:r>
    </w:p>
    <w:p>
      <w:r>
        <w:rPr>
          <w:b/>
        </w:rPr>
        <w:t>E. 5.4.3</w:t>
      </w:r>
    </w:p>
    <w:p>
      <w:r>
        <w:t>Der Beschwerdeführer hat schon vor der ESTV ein «Fiduciary Agreement» vom [...] 2009 zwischen [einer Person aus seiner Verwandtschaft] und dem Direktor der B._______ eingereicht (BB 10). In diesem Vertrag sind [die Person aus der Verwandtschaft] des Beschwerdeführers als «Principal» und der Direktor als «Trustee» aufgeführt. Der Beschwerdeführer wird nur einmal, nämlich in Ziff. 8 des Vertrages, erwähnt. Dort steht, dass [die Person aus der Verwandtschaft] des Beschwerdeführers, [...], wünsche, dass alle Werte in der Gesellschaft 30 Tage nach ihrem Tod an den Begünstigten, [...] X._______ [...] verteilt würden.</w:t>
      </w:r>
    </w:p>
    <w:p>
      <w:r>
        <w:rPr>
          <w:b/>
        </w:rPr>
        <w:t>E. 5.4.4</w:t>
      </w:r>
    </w:p>
    <w:p>
      <w:r>
        <w:t>Weiter liegt ein Dokument vom [...] als «Zusatz» unter anderem zum soeben genannten Vertrag in den Akten (BB 16), in dem [die Person aus seiner Verwandtschaft] festhält, dass alle Ausschüttungen an [den Beschwerdeführer ...] unter einer der folgenden beiden Vorbedingungen gemacht würden, je nachdem, welche zuerst eintrete: Entweder, wenn der Beschwerdeführer [in einem bestimmten Land lebe], oder fünf Jahre nach ihrem Tod.</w:t>
      </w:r>
    </w:p>
    <w:p>
      <w:r>
        <w:rPr>
          <w:b/>
        </w:rPr>
        <w:t>E. 5.4.5</w:t>
      </w:r>
    </w:p>
    <w:p>
      <w:r>
        <w:t>Aus diesen Unterlagen (E. 5.4.3 und 5.4.4) schliesst der Beschwerdeführer, dass er keine Verfügungsmacht über das streitbetroffene Konto besessen habe, sondern dass noch im Jahr 2013 die alleinige Verfügungsmacht bei [der Person aus seiner Verwandtschaft] gelegen habe.</w:t>
      </w:r>
    </w:p>
    <w:p>
      <w:r>
        <w:rPr>
          <w:b/>
        </w:rPr>
        <w:t>E. 5.4.6</w:t>
      </w:r>
    </w:p>
    <w:p>
      <w:r>
        <w:t>Aus dem «Fiduciary Agreement» vom [...] 2009 zwischen [der Person aus der Verwandtschaft] des Beschwerdeführers und dem Direktor der B._______ (E. 5.4.3) geht hervor, dass tatsächlich [die Person aus der Verwandtschaft] als wirtschaftlich Berechtigte der Gesellschaft zu gelten hat, verfügt sie hier doch über die Werte dieser Gesellschaft. Deutlich wird daraus auch, dass der Beschwerdeführer erst nach dem Tod [der Person aus der Verwandtschaft] die Verfügungsmacht erhalten soll. Noch klarer geht dies aus dem Zusatz vom [...] 2013 hervor (E. 5.4.4), worin [die Person aus der Verwandtschaft] den Übergang der Verfügungsmacht an Bedingungen knüpft, dies im Übrigen auch noch nach dem vom Ersuchen umfassten Zeitraum. Damit handelt es sich bei [der Person aus der Verwandtschaft] des Beschwerdeführers nicht nur um die zivilrechtliche Eigentümerin (wie dies die ESTV mit Hinweis auf das Urteil des BVGer A 6662/2010 vom 27. Juni 2011 E. 6.3 geltend macht), sondern auch um die für den fraglichen Zeitraum tatsächlich wirtschaftlich Berechtigte. Dem Beschwerdeführer kommt zu Lebzeiten [der Person aus seiner Verwandtschaft] eben gerade keine Verfügungsmacht zu, würden doch sonst die Anweisungen [der Person aus seiner Verwandtschaft] ihres Sinns entleert. Dass diese Unterlagen nicht die tatsächlichen Verhältnisse wiedergeben würden, ist weder ersichtlich noch von der ESTV geltend gemacht.</w:t>
      </w:r>
    </w:p>
    <w:p>
      <w:r>
        <w:rPr>
          <w:b/>
        </w:rPr>
        <w:t>E. 5.4.7</w:t>
      </w:r>
    </w:p>
    <w:p>
      <w:r>
        <w:t>Da der Beschwerdeführer gemäss einer «substance-over-form-Betrachtung» nicht am streitbetroffenen Konto wirtschaftlich berechtigt ist, weil ihm gerade keine Verfügungsmacht über dieses Konto zukommt, konnte er auch der Bank keine Anweisungen erteilen. Unter diesen Umständen ist sein Vorbringen, dass er die Anweisung des Direktors und des Sekretärs der B._______ nur aufgrund deren Wunsches bestätigt habe und um längere Diskussionen mit der Bank zu vermeiden, nachvollziehbar. Er konnte den Verdacht, er sei am streitbetroffenen Konto wirtschaftlich berechtigt, klarerweise und entscheidend entkräften.</w:t>
      </w:r>
    </w:p>
    <w:p>
      <w:r>
        <w:rPr>
          <w:b/>
        </w:rPr>
        <w:t>E. 5.4.8</w:t>
      </w:r>
    </w:p>
    <w:p>
      <w:r>
        <w:t>Die Vereinbarung, welche die Einkommenssteuerbehörde [...] mit der B._______ und anderen Gesellschaften schloss und in welcher der Beschwerdeführer als Begünstigter an der Kontoinhaberin bezeichnet wird (E. 5.3.1), ist im Zusammenhang mit den zuvor genannten Urkunden zu lesen (E. 5.4.3 und 5.4.4). Daraus ergibt sich, dass der Beschwerdeführer zwar Begünstigter ist, von diesem Recht aber erst nach dem Tod [der Person aus der Verwandtschaft] Gebrauch machen kann. Im relevanten Zeitpunkt lebte [die Person aus seiner Verwandtschaft] jedoch noch, weshalb insgesamt festzustellen ist, dass der Beschwerdeführer im relevanten Zeitraum gerade keine Verfügungsmacht über die Beschwerdeführerin oder über das von dieser gehaltene, streitbetroffene Konto haben konnte. Das Abkommen [der Person aus seiner Verwandtschaft] mit der Steuerbehörde ändert somit nichts an der Feststellung, dass dem Beschwerdeführer der Beweis gelungen ist, dass er nicht an der B._______ und auch nicht am von dieser gehaltenen, streitbetroffenen Konto wirtschaftlich berechtigt war. Dass der «beneficiary» in Trust-Konstellationen nicht notwendig mit der wirtschaftlich berechtigten Person gleichzusetzen ist, hat das Bundesverwaltungsgericht bereits in früheren Verfahren entschieden (Urteile des BVGer A-6640/2010 vom 19. Mai 2011 E. 5.5.3, A-6455/2010 vom 31. März 2011 E. 4.3, A-6903/2010 vom 23. März 2011 E. 5.3, A-7012/2010 vom 21. März 2011 E. 5.4; vgl. auch Urteil des BVGer A-6660/2010 vom 12. August 2011 E. 5.3-5.5.2).</w:t>
      </w:r>
    </w:p>
    <w:p>
      <w:r>
        <w:rPr>
          <w:b/>
        </w:rPr>
        <w:t>E. 5.4.9</w:t>
      </w:r>
    </w:p>
    <w:p>
      <w:r>
        <w:t>Nur am Rand sei hier angemerkt, dass mittlerweile selbst die Bank Zweifel an der wirtschaftlichen Berechtigung des Beschwerdeführers sowie an einer Verletzung der corporate governance hegt (Sachverhalt Bst. D; BB 6).</w:t>
      </w:r>
    </w:p>
    <w:p>
      <w:r>
        <w:rPr>
          <w:b/>
        </w:rPr>
        <w:t>E. 5.4.10</w:t>
      </w:r>
    </w:p>
    <w:p>
      <w:r>
        <w:t>Nach dem Ausgeführten ist dem Beschwerdeführer gelungen, den Verdacht, er sei am streitbetroffenen Konto wirtschaftlich berechtigt, klarerweise und entscheidend mittels Urkunden zu entkräften.</w:t>
      </w:r>
    </w:p>
    <w:p>
      <w:r>
        <w:rPr>
          <w:b/>
        </w:rPr>
        <w:t>E. 5.5.1</w:t>
      </w:r>
    </w:p>
    <w:p>
      <w:r>
        <w:t>Unter diesen Umständen kann offenbleiben, ob die vom streitbetroffenen Konto erfolgten Zahlungen geschäftlich begründet waren, denn da der Beschwerdeführer nicht an diesem Konto wirtschaftlich berechtigt war, ist eine Voraussetzung, damit die Kontodaten dem IRS im Rahmen des Amtshilfeverfahrens zu übermitteln wären, nicht erfüllt. Damit sind für das vorliegende Verfahren alle mit diesem Konto in Zusammenhang stehenden Umstände irrelevant.</w:t>
      </w:r>
    </w:p>
    <w:p>
      <w:r>
        <w:rPr>
          <w:b/>
        </w:rPr>
        <w:t>E. 5.5.2</w:t>
      </w:r>
    </w:p>
    <w:p>
      <w:r>
        <w:t>Auf die weiteren Vorbringen des Beschwerdeführers muss nicht mehr eingegangen werden.</w:t>
      </w:r>
    </w:p>
    <w:p>
      <w:r>
        <w:rPr>
          <w:b/>
        </w:rPr>
        <w:t>E. 5.6</w:t>
      </w:r>
    </w:p>
    <w:p>
      <w:r>
        <w:t>Nach dem Gesagten ist die Beschwerde gutzuheissen, die angefochtene Verfügung aufzuheben und die Amtshilfe zu verweigern.</w:t>
      </w:r>
    </w:p>
    <w:p>
      <w:r>
        <w:rPr>
          <w:b/>
        </w:rPr>
        <w:t>E. 6.1</w:t>
      </w:r>
    </w:p>
    <w:p>
      <w:r>
        <w:t>Bei diesem Verfahrensausgang sind dem obsiegenden Beschwerdeführer und der Vorinstanz keine Verfahrenskosten aufzuerlegen (vgl. Art. 63 VwVG). Der im vorliegenden Verfahren geleistete Kostenvorschuss von Fr. 5'000.-- ist dem Beschwerdeführer nach Eintritt der Rechtskraft des vorliegenden Urteils zurückzuerstatten.</w:t>
      </w:r>
    </w:p>
    <w:p>
      <w:r>
        <w:rPr>
          <w:b/>
        </w:rPr>
        <w:t>E. 6.2</w:t>
      </w:r>
    </w:p>
    <w:p>
      <w:r>
        <w:t>Die ESTV hat dem obsiegenden Beschwerdeführer die ihm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des Beschwerdeführers für die ihm erwachsenen notwendigen Auslagen ist mangels Kostennote aufgrund der Akten und nach freiem richterlichem Ermessen praxisgemäss auf insgesamt Fr. 7'500.-- festzusetzen. In diesem Betrag ist die Mehrwertsteuer nicht enthalten, weil aufgrund des ausländischen Wohnsitzes des Beschwerdeführers in Bezug auf die Leistung seiner Rechtsvertreterin von einem (steuerbefreiten) Dienstleistungsexport auszugehen ist (vgl. Art. 8 Abs. 1 sowie Art. 18 Abs. 1 des Bundesgesetzes vom 12. Juni 2009 über die Mehrwertsteuer [MWSTG; SR 641.20]; Urteil des BVGer A-8400/2015 vom 21. März 2016 E. 10.2).</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