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A-1913/2007 vom 12. Dezember 2008</w:t>
      </w:r>
    </w:p>
    <w:p>
      <w:r>
        <w:t>Bundesverwaltungsgericht, 2008-12-12, DE</w:t>
      </w:r>
    </w:p>
    <w:p>
      <w:r>
        <w:rPr>
          <w:b/>
        </w:rPr>
        <w:t xml:space="preserve">Quelle: </w:t>
      </w:r>
      <w:r>
        <w:t>https://mcp.opencaselaw.ch/entscheid/bvger_A-1913_2007</w:t>
      </w:r>
    </w:p>
    <w:p>
      <w:r>
        <w:t>FR: TAF A-1913/2007 du 12 décembre 2008</w:t>
      </w:r>
    </w:p>
    <w:p>
      <w:r>
        <w:t>IT: TAF A-1913/2007 del 12 dicembre 2008</w:t>
      </w:r>
    </w:p>
    <w:p>
      <w:pPr>
        <w:pStyle w:val="Heading2"/>
      </w:pPr>
      <w:r>
        <w:t>Regeste</w:t>
      </w:r>
    </w:p>
    <w:p>
      <w:r>
        <w:t>Mehrwertsteuer</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Gemäss Art. 31 VGG beurteilt das Bundesverwaltungsgericht Beschwerden gegen Verfügungen nach Art. 5 VwVG, sofern keine Ausnahme nach Art. 32 VGG gegeben ist. Eine solche liegt nicht vor. Die Vorinstanz ist zudem als Behörde im Sinne von Art. 33 VGG zu qualifizieren. Das Bundesverwaltungsgericht ist daher für die Beurteilung der vorliegenden Beschwerde sachlich wie funktionell zuständig. Auf die im Übrigen form- und fristgerecht eingereichte Beschwerde ist einzutreten.</w:t>
      </w:r>
    </w:p>
    <w:p>
      <w:r>
        <w:rPr>
          <w:b/>
        </w:rPr>
        <w:t>E. 1.2</w:t>
      </w:r>
    </w:p>
    <w:p>
      <w:r>
        <w:t>Der Streitgegenstand bestimmt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Rz. 403 f.). Die im Rahmen eines Vernehmlassungsverfahrens durch die Vorinstanz vorgenommenen Änderungen der Begehren vermögen die ursprünglich angefochtene Verfügung dabei nicht zu ersetzen; das Bundesverwaltungsgericht hat als Beschwerdeinstanz die Behandlung der Beschwerde gemäss Art. 58 Abs. 3 VwVG vielmehr fortzusetzen, soweit diese durch den Erlass einer neuen Verfügung nicht gegenstandslos geworden ist (André Moser/Michael Beusch/Lorenz Kneubühler, Prozessieren vor dem Bundesverwaltungsgericht, Basel 2008, Rz. 3.46).</w:t>
      </w:r>
    </w:p>
    <w:p>
      <w:r>
        <w:rPr>
          <w:b/>
        </w:rPr>
        <w:t>E. 1.3</w:t>
      </w:r>
    </w:p>
    <w:p>
      <w:r>
        <w:t>In Übereinstimmung mit der oben (E. 1.2) dargelegten Definition des Streitgegenstandes ist festzuhalten, dass das Beschwerdeverfahren grundsätzlich von der Dispositionsmaxime beherrscht wird. Das Gericht spricht den Parteien im Fall einer Gutheissung nicht mehr zu, als sie beantragt haben, bei Abweisung einer Beschwerde auch nicht weniger, als ihnen die Vorinstanz zugebilligt hat (Moser/Beusch/ Kneubühler, a.a.O., Rz. 3.198). Art. 62 VwVG relativiert jedoch die grundsätzliche Geltung der Dispositionsmaxime zugunsten der Offizialmaxime dahingehend, dass die Rechtsmittelinstanz über die Anträge der Parteien hinausgehen (Art. 62 Abs. 1 VwVG) sowie die angefochtene Verfügung zuungunsten einer Partei abändern kann, soweit diese Bundesrecht verletzt oder auf einer unrichtigen bzw. unvollständigen Sachverhaltsfeststellung beruht (Art. 62 Abs. 2 VwVG). Das Bundesverwaltungsgericht wendet das Recht von Amtes wegen an und ist an die rechtliche Begründung der Begehren nicht gebunden (Art. 62 Abs. 4 VwVG).</w:t>
      </w:r>
    </w:p>
    <w:p>
      <w:r>
        <w:rPr>
          <w:b/>
        </w:rPr>
        <w:t>E. 2.1</w:t>
      </w:r>
    </w:p>
    <w:p>
      <w:r>
        <w:t>Gemäss Art. 2 Abs. 1 VwVG finden unter anderem die Art. 12-19 VwVG auf das Steuerverfahren keine Anwendung. Dies gilt somit für die Bestimmungen betreffend die Feststellung des Sachverhalts, wonach die Behörde sich grundsätzlich der Beweismittel der Urkunden, Parteiauskünfte, Zeugnisse und Auskünfte Dritter, Augenschein sowie Sachverständigengutachten bedient (vgl. Art. 12 VwVG). Dennoch wird das Verfahren vor erster Instanz von der Untersuchungsmaxime beherrscht (Urteil des Bundesverwaltungsgerichts A-3069/2007 vom 29. Januar 2008 E. 1.2; Kölz/Häner, a.a.O., Rz. 105). Demnach muss die entscheidende Behörde den Sachverhalt von sich aus abklären. Sie muss die für das Verfahren notwendigen Sachverhaltsunterlagen beschaffen und die rechtlich relevanten Umstände abklären sowie darüber ordnungsgemäss Beweis führen.</w:t>
      </w:r>
    </w:p>
    <w:p>
      <w:r>
        <w:rPr>
          <w:b/>
        </w:rPr>
        <w:t>E. 2.2</w:t>
      </w:r>
    </w:p>
    <w:p>
      <w:r>
        <w:t>Der Untersuchungsgrundsatz wird insbesondere dadurch relativiert, dass den Beteiligten gewisse Mitwirkungspflichten auferlegt werden (anstatt vieler Urteil des Bundesverwaltungsgerichts A-1624/2006 vom 4. November 2008 E. 1.3; Kölz/Häner, a.a.O., Rz. 107). Wo der Untersuchungsgrundsatz endet und die Mitwirkungspflicht beginnt, lässt sich nicht allgemein festlegen. Indes ist es anerkannt, dass die Steuerbehörde für die steuerbegründenden Tatsachen den Nachweis zu erbringen hat, während dem Steuerpflichtigen der Nachweis der Tatsachen obliegt, welche die Steuerschuld mindern oder aufheben ([anstelle vieler] Urteil des Bundesverwaltungsgerichts A-1506/2006 vom 3. Juni 2008 E. 2.1.3; Ernst Blumenstein/Peter Locher, System des schweizerischen Steuerrechts, 6. Aufl., Zürich 2002, S. 454).</w:t>
      </w:r>
    </w:p>
    <w:p>
      <w:r>
        <w:rPr>
          <w:b/>
        </w:rPr>
        <w:t>E. 2.3</w:t>
      </w:r>
    </w:p>
    <w:p>
      <w:r>
        <w:t>Hat eine Behörde - soweit sie dem Untersuchungsgrundsatz unterliegt - den Sachverhalt nicht von Amtes wegen abgeklärt, oder hat sie dies nur unvollständig getan, so bildet das einen Beschwerdegrund nach Art. 49 Bst. b VwVG. Jedoch ist es grundsätzlich nicht Sache des Bundesverwaltungsgerichts als Rechtsmittelbehörde, den für den Entscheid erheblichen Sachverhalt von Grund auf zu ermitteln und über die tatsächlichen Vorbringen der Parteien hinaus den Sachverhalt vollkommen neu zu erforschen (KÖLZ/HÄNER, a.a.O., Rz. 676). Vielmehr geht es in diesem Verfahren darum, den von den Vorinstanzen ermittelten Sachverhalt zu überprüfen und allenfalls zu berichtigen oder zu ergänzen (Urteil des Bundesverwaltungsgerichts A-3069/2007 vom 29. Januar 2008 E. 1.2 in fine).</w:t>
      </w:r>
    </w:p>
    <w:p>
      <w:r>
        <w:rPr>
          <w:b/>
        </w:rPr>
        <w:t>E. 3.1</w:t>
      </w:r>
    </w:p>
    <w:p>
      <w:r>
        <w:t>Am 1. Januar 2001 ist das Mehrwertsteuergesetz vom 2. September 1999 (MWSTG, SR 641.20) sowie die dazugehörende Verordnung (Verordnung vom 29. März 2000 zum Bundesgesetz über die Mehrwertsteuer [MWSTGV, SR 641.201]) in Kraft getreten. Der zu beurteilende Sachverhalt bezieht sich indessen auf die Abrechnungsperioden 1. Quartal 1995 bis 2. Quartal 2000. Auf die vorliegende Beschwerde ist damit grundsätzlich noch die Verordnung vom 22. Juni 1994 über die Mehrwertsteuer (MWSTV, AS 1994 1464) anwendbar (Art. 93 und 94 MWSTG).</w:t>
      </w:r>
    </w:p>
    <w:p>
      <w:r>
        <w:rPr>
          <w:b/>
        </w:rPr>
        <w:t>E. 3.2</w:t>
      </w:r>
    </w:p>
    <w:p>
      <w:r>
        <w:t>Im Zusammenhang mit den oben erwähnten (E. 2.2) Mitwirkungspflichten ist festzuhalten, dass die Veranlagung und Entrichtung der Mehrwertsteuer nach dem Prinzip der Selbstveranlagung erfolgt (Art. 37 f. MWSTV). Die steuerpflichtige Person hat ihre Mehrwertsteuerforderung selbst festzustellen; sie ist allein für die vollständige und richtige Versteuerung ihrer steuerbaren Umsätze und für die korrekte Ermittlung der Vorsteuer verantwortlich (vgl. schon Kommentar des Eidgenössischen Finanzdepartementes zur Verordnung über die Mehrwertsteuer vom 22. Juni 1994, Bern 1994, S. 38). Mit diesem Prinzip verbunden sind namentlich die An- und Abmeldepflichten der steuerpflichtigen Personen, ihre Auskunftspflichten und die Pflicht zur Steuerentrichtung (vgl. anstatt vieler Urteil des Bundesverwaltungsgerichts A-1387/2006 vom 11. Juni 2007 E. 3.1; Entscheid der SRK vom 6. Oktober 2004, veröffentlicht in Verwaltungspraxis der Bundesbehörden [VPB] 69.42 E. 2a, mit Hinweisen; Blumenstein/Locher, a.a.O., S. 421 ff.).</w:t>
      </w:r>
    </w:p>
    <w:p>
      <w:r>
        <w:rPr>
          <w:b/>
        </w:rPr>
        <w:t>E. 4</w:t>
      </w:r>
    </w:p>
    <w:p>
      <w:r>
        <w:t>Von der Mehrwertsteuer ausgenommen sind gemäss Art. 14 Ziff. 9 MWSTV unter anderem die Umsätze im Bereich des Unterrichts, der Ausbildung, Fortbildung und der beruflichen Umschulung, sowie von Kursen, Vorträgen und anderen Veranstaltungen wissenschaftlicher oder bildender Art.</w:t>
      </w:r>
    </w:p>
    <w:p>
      <w:r>
        <w:rPr>
          <w:b/>
        </w:rPr>
        <w:t>E. 4.1</w:t>
      </w:r>
    </w:p>
    <w:p>
      <w:r>
        <w:t>Unter Art. 14 Ziff. 9 MWSTV sind nicht jegliche Leistungen zu subsumieren, welche einen irgendwie gearteten Bezug zur Bildung aufweisen; der Anwendungsbereich dieser Steuerausnahme ist vielmehr auf Leistungen beschränkt, welche vordergründig die Vermittlung von Wissen oder besonderen Kenntnissen zum Gegenstand haben (Urteile des Bundesgerichts 2C_232/2007 vom 14. Oktober 2008 E. 2.1.1, 2C_613/2007 vom 15. August 2008 E. 2.2 mit weiteren Hinweisen; Entscheid der SRK vom 30. August 2004, veröffentlicht in VPB 69.9 E. 2c/aa).</w:t>
      </w:r>
    </w:p>
    <w:p>
      <w:r>
        <w:rPr>
          <w:b/>
        </w:rPr>
        <w:t>E. 4.1.1</w:t>
      </w:r>
    </w:p>
    <w:p>
      <w:r>
        <w:t>Diese vordergründige Zielsetzung unterscheidet die Bildungsleistung namentlich von der Beratungsleistung. Eine klassische Beratungsleistung liegt vor, wenn dem Auftraggeber zwar auch Wissen vermittelt wird, diese Wissensvermittlung indes nicht ihr grundsätzliches und erstes Ziel ist. Als Beratungsleistung ist insbesondere die betriebsspezifische Ausbildung zu qualifizieren. Von einer solchen Ausbildung ist praxisgemäss dann auszugehen, wenn die Leistung kumulativ als auftraggeberspezifisch, teilnehmerspezifisch und fachspezifisch anzusehen ist (Urteil des Bundesgerichts 2A.269/2005 vom 21. März 2006 E. 3.2). Nach der Rechtsprechung der SRK können grundsätzlich auch Seminare, welche sich aus Standardmodulen - d.h. aus inhaltlich unverändert mehrer Kunden angebotenen Modulen - zusammensetzen, aufgrund der auf den Kunden abgestimmten individuellen Auswahl und Zusammenstellung das Kriterium der Teilnehmerspezifität sowie der Auftraggeberspezifität erfüllen (Entscheid der SRK vom 30. August 2004, veröffentlicht in VPB 69.9 E. 3b).</w:t>
      </w:r>
    </w:p>
    <w:p>
      <w:r>
        <w:rPr>
          <w:b/>
        </w:rPr>
        <w:t>E. 4.1.2</w:t>
      </w:r>
    </w:p>
    <w:p>
      <w:r>
        <w:t>Die Abgrenzung der von der Steuer ausgenommenen Bildungsleistung von der steuerbaren Beratungsleistung erweist sich bei gemischten Dienstleistungsverträgen, welche sowohl Elemente der Schulung wie auch Elemente der Beratung aufweisen, als nicht immer einfach. Die Unterscheidung ist danach vorzunehmen, ob die vordergründige Zielsetzung der Vertragsparteien in der Bildung oder in der Beratung erblickt werden kann. Stehen die Elemente der Schulung im Vordergrund, so ist das gesamte Entgelt von der Steuer ausgenommen, während im zweiten Fall das gesamte Entgelt der Steuer unterliegt (Urteil des Bundesgerichts 2A.269/2005 vom 21. März 2006 E. 3.2). Die Elemente der Beratung stehen insbesondere dann im Vordergrund, wenn der zwischen dem Leistungserbringer und dem Leistungsempfänger abgeschlossene Vertrag individuell auf den Kunden abgestimmt worden ist bzw. wenn der Leistungserbringer beim Leistungsempfänger eine Situationsanalyse durchführt und gestützt darauf Problemlösungsvorschläge ausarbeitet, oder wenn eine Situationsanalyse ausgearbeitet und die zur Lösung des Problems erforderlichen Massnahmen getroffen werden (Urteil des Bundesgerichts 2A.269/2005 vom 21. März 2006 E. 3.2; Entscheid der SRK vom 30. August 2004, veröffentlicht in VPB 69.9 E. 2c/bb, mit weiteren Hinweisen).</w:t>
      </w:r>
    </w:p>
    <w:p>
      <w:r>
        <w:rPr>
          <w:b/>
        </w:rPr>
        <w:t>E. 4.2</w:t>
      </w:r>
    </w:p>
    <w:p>
      <w:r>
        <w:t>Art. 14 MWSTV enthält einen Katalog von sog. unechten Steuerbefreiungen, weil der Anspruch auf Vorsteuerabzug nicht geltend gemacht werden kann (BGE 124 II 193 E. 5e; für die Lehre vgl. STEPHAN KUHN/PETER SPINNLER, Mehrwertsteuer, Muri/Bern 1994, S. 56; PASCAL MOLLARD, La TVA suisse et la problématique des exonérations, Archiv für Schweizerisches Abgaberecht [ASA] 63 S. 443, besonders 457 ff., 471 ff.). Aus diesem Ausschluss des Vorsteuerabzuges ergibt sich, dass unechte Steuerbefreiungen grundsätzlich auf der Stufe des Endverbrauchs eingreifen (BGE 124 II 193 E. 5e; Urteil des Bundesgerichts 2C_613/2007 vom 15. August 2008 E. 2.2). Es ist Sache des Gesetzgebers zu bestimmen, ob eine Steuerausnahme nur die Endumsätze oder, bei Vorliegen bestimmter Voraussetzungen, auch die Vorumsätze umfasst. Im Bereich der Erziehung und Bildung hat der Gesetzgeber die bisherige Regelung auf den 1. Juli 2002 revidiert und eigentliche Vorumsätze ("Organisationsdienstleistungen"), welche das Mitglied einer Erziehungs- oder Bildungseinrichtung erbringt, von der Steuer ausgenommen (Art. 18 Ziff. 11 Bst. d MWSTG; Urteil des Bundesgerichts 2C_613/2007 vom 15. August 2008 E. 2.2; ALOIS CAMENZIND/NIKLAUS HONAUER/KLAUS A. VALLENDER, Handbuch zum Mehrwertsteuergesetz [MWSTG], 2. Aufl., Bern 2003, S. 261). Diese Revision ändert jedoch nichts daran, dass auf den vorliegenden Sachverhalt noch Art. 14 Ziff. 9 MWSTV Anwendung findet, diese Bestimmung noch keine dem Art. 18 Ziff. 11 Bst. b und d MWSTG entsprechende unechte Steuerausnahme für Organisationsleistungen im Bildungsbereich enthielt und die Rechtsprechung die Vorumsätze im Bereich der Erziehung und Bildung stets als nicht von der Steuer ausgenommen qualifiziert hat (Urteile des Bundesgerichts 2C_232/2007 vom 14. Oktober 2008 E. 2.1.2, 2C_613/2007 vom 15. August 2008 E. 2.2, vom 20. September 2000, veröffentlicht in ASA 71 S. 57 ff., S. 64 f.; Urteil des Bundesverwaltungsgerichts A-1563/2006 vom 26. September 2007 E. 3.1.3).</w:t>
      </w:r>
    </w:p>
    <w:p>
      <w:r>
        <w:rPr>
          <w:b/>
        </w:rPr>
        <w:t>E. 5.1</w:t>
      </w:r>
    </w:p>
    <w:p>
      <w:r>
        <w:t>Nach Darstellung der Beschwerdeführerin wurde im Zusammenhang mit der Durchführung von Seminaren bei der Z._______ weder der Vertragsinhalt auf die Auftraggeberin zugeschnitten noch Situationsanalysen durchgeführt oder Problemlösungsvorschläge ausgearbeitet bzw. Massnahmen vorgeschlagen. Die Vorinstanz hat sich in ihrer Vernehmlassung dieser Sachverhaltsdarstellung angeschlossen und erachtet es aufgrund der ins Recht gelegten Übersicht über die Seminarmodule als erstellt, dass die bis anhin umstrittenen Leistungen der Rechtsvorgängerin der Beschwerdeführerin an die Z._______ nicht auf die speziellen Bedürfnisse der Auftraggeberin abgestimmt worden sind. Wie eingangs erwähnt (E. 2.3) ist es nicht Sache des Bundesverwaltungsgerichts als Rechtsmittelbehörde, den Sachverhalt über die tatsächlichen Vorbringen der Parteien hinaus vollkommen neu zu erforschen. Entsprechend besteht für das Gericht vorliegend kein Anlass dazu abzuklären, ob allenfalls in der Auswahl bzw. in der Zusammenstellung der (an sich identischen und austauschbaren) Seminarmodule für die Z._______ selbst ein auftraggeber- bzw. teilnehmerspezifisches Element (vgl. dazu oben, E. 4.1.1 in fine) vorliegt. Nach der übereinstimmenden Darstellung der Beschwerdeführerin und der Vorinstanz ist vielmehr davon auszugehen, dass die Elemente, welche für eine Qualifikation der erbrachten Leistung als Beratungsleistung als ausschlaggebend anzusehen sind (vgl. dazu oben, E. 4.1 in fine), in casu nicht vorliegen, sondern die Vermittlung von Wissen und Kenntnissen bei den bei der Z._______ durchgeführten Seminaren im Vordergrund stand. Stehen bei einer Dienstleistung die Elemente der Schulung und nicht diejenigen der Beratung im Vordergrund, so ist das gesamte Entgelt von der Steuer ausgenommen (E. 4.1.2). Entsprechend ist das Entgelt, welches die Rechtsvorgängerin der Beschwerdeführerin aus der Organisation und Durchführung von Seminaren bei der Z._______ eingenommen hat, als von der Steuer ausgenommene Bildungsleistung zu qualifizieren, soweit sich die Leistung an den Endverbraucher gerichtet hat (vgl. zu dieser Einschränkung E. 5.2.4). In diesem Punkt ist die Beschwerde gutzuheissen.</w:t>
      </w:r>
    </w:p>
    <w:p>
      <w:r>
        <w:rPr>
          <w:b/>
        </w:rPr>
        <w:t>E. 5.2.1</w:t>
      </w:r>
    </w:p>
    <w:p>
      <w:r>
        <w:t>Keine Bildungsleistung an den Endverbraucher im Sinn von Art. 14 Ziff. 9 MWSTV stellt hingegen die Leistung eines Arbeitgebers oder einer zwischen Referent bzw. Lehrer und Schule geschalteten Gesellschaft dar, welche selber kein Wissen vermittelt, sondern sich darauf beschränkt, den Referenten bzw. den Lehrer zur Verfügung zu stellen (Urteil des Bundesgerichts vom 20. September 2000 veröffentlicht in ASA 71 S. 57 ff., S. 64). Es handelt sich dabei gemäss ständiger bundesgerichtlicher Rechtsprechung zu Art. 14 Ziff. 9 MWSTV um einen Vorumsatz, welcher der Erstellung des letzten, von der Steuer ausgenommenen Umsatzes dient, und nicht um den letzten Vorumsatz selbst (zuletzt bestätigt in den Urteilen des Bundesgerichts 2C_232/2007 vom 14. Oktober 2008 E. 2.1.2, 2C_613/2007 vom 15. August 2008 E. 2.3). Die mittlerweile erfolgte Revision von Art. 14 Ziff. 9 MWSTV stellt mithin keinen Grund dar, für noch unter die Geltung dieser Bestimmung fallende Sachverhalte von der klaren gesetzlichen Regelung abzuweichen (vgl. dazu oben, E. 4.2 in fine).</w:t>
      </w:r>
    </w:p>
    <w:p>
      <w:r>
        <w:rPr>
          <w:b/>
        </w:rPr>
        <w:t>E. 5.2.2</w:t>
      </w:r>
    </w:p>
    <w:p>
      <w:r>
        <w:t>Nach Darstellung der Rechtsvorgängerin der Beschwerdeführerin vom 2. Mai 2000 hatte diese einen Lehrgang "..." entwickelt, welcher seit dem Jahr ... an der C._______ angeboten wurde. Die Durchführung dieses Lehrgangs hatte die Rechtsvorgängerin der Beschwerdeführerin im Jahr ... an das Institut D._______ verkauft. Nach eigenen Angaben blieb die Rechtsvorgängerin der Beschwerdeführerin jedoch an diesem Institut sowie an der C._______ durch - ihren Verwaltungsratspräsidenten - A._______ als Dozent tätig; die Einnahmen für diese Dozententätigkeit wurden ihr über das Institut D._______ zugeführt. In einer weiteren Stellungnahme machte die Rechtsvorgängerin der Beschwerdeführerin hinsichtlich der Referententätigkeit von A._______ geltend, dass das entsprechende Vertragsverhältnis zwischen dem Institut D._______ und A._______ persönlich zustande gekommen sei; die Tatsache, dass das Honorar nicht an A._______ persönlich, sondern an die Rechtsvorgängerin der Beschwerdeführerin ausbezahlt worden sei, beruhe lediglich darauf, dass A._______ zum damaligen Zeitpunkt noch nicht über eine Niederlassungsbewilligung C verfügt habe und deshalb eine zusätzliche weitere Arbeitsbewilligung benötigt hätte.</w:t>
      </w:r>
    </w:p>
    <w:p>
      <w:r>
        <w:rPr>
          <w:b/>
        </w:rPr>
        <w:t>E. 5.2.3</w:t>
      </w:r>
    </w:p>
    <w:p>
      <w:r>
        <w:t>Ist zweifelhaft, ob eine Handlung eines Organträgers, welche objektiv als Handlung der juristischen Person gelten könnte, als private Handlung des Organträgers zu qualifizieren ist, so ist aufgrund des Vertrauensprinzips zu entscheiden, ob der Dritte ein Handeln als Organ und damit als für die juristische Person annehmen durfte; abzustellen ist dabei auf die Art des Geschäfts oder die Art des Auftretens des Organs (Hans Michael Riemer, Berner Kommentar zum schweizerischen Privatrecht Art. 52-59 ZGB, Band I: 3. Abt. 1. Teilband, Allgemeine Bestimmungen über juristische Personen, Bern 1993, N 39 f. zu Art. 54/55 ZGB). Vorliegend ist die fragliche Handlung vom Gesellschaftszweck der Rechtsvorgängerin der Beschwerdeführerin - die Beratung von juristischen und natürlichen Personen sowie die Durchführung von Führungs-, Managements- und Verkaufsseminaren - gedeckt. Die Abrechnungen über die Referentenhonorare wurden, soweit ersichtlich, ausschliesslich über die Adresse der Rechtsvorgängerin der Beschwerdeführerin abgewickelt, wobei die Firma der Rechtsvorgängerin der Beschwerdeführerin regelmässig ausdrücklich aufgeführt wurde. Die Auszahlung der Entgelte für die Referententätigkeit erfolgte zudem unbestrittenermassen nicht an A._______ persönlich, sondern durch das Institut D._______ regelmässig an die Rechtsvorgängerin der Beschwerdeführerin. Sowohl die Art des Geschäfts wie auch die Art des Auftretens des Organs lassen somit darauf schliessen, dass vorliegend nicht die Privatperson A._______, sondern die Rechtsvorgängerin der Beschwerdeführerin aus dem Vertragsverhältnis mit dem Institut D._______ berechtigt und verpflichtet werden sollte. Diese Auslegung stimmt zudem mit dem von der Beschwerdeführerin geäusserten subjektiven Parteiwillen überein, mit der Abwicklung über die Rechtsvorgängerin der Beschwerdeführerin auf die Einholung einer weiteren Arbeitsbewilligung für ihren Verwaltungsratspräsidenten verzichtet haben zu wollen.</w:t>
      </w:r>
    </w:p>
    <w:p>
      <w:r>
        <w:rPr>
          <w:b/>
        </w:rPr>
        <w:t>E. 5.2.4</w:t>
      </w:r>
    </w:p>
    <w:p>
      <w:r>
        <w:t>Für die Belange der Mehrwertsteuer im Zusammenhang mit den Entgelten für die Referententätigkeit von A._______ ergibt sich somit, dass die Rechtsvorgängerin der Beschwerdeführerin im Zusammenhang mit der Durchführung von Seminaren den betreffenden Abnehmern - neben anderen Leistungen - auch den Referenten zur Verfügung gestellt und dafür gemäss unbestritten gebliebener Darstellung ein Entgelt von insgesamt Fr. ... erhalten hat. Diese Leistung stellt eine Vorleistung einer von der Steuer ausgenommenen Bildungsleistung dar, deren Entgelt der Steuer zum ordentlichen Satz unterliegt (vgl. oben, E. 5.2.1). Soweit die Beschwerdeführerin beantragt, der angefochtene Entscheid sei im Umfang der Nachbelastung im Zusammenhang mit den Entgelten für die Referententätigkeit des Verwaltungsratspräsidenten ihrer Rechtsvorgängerin aufzuheben, ist die Beschwerde abzuweisen.</w:t>
      </w:r>
    </w:p>
    <w:p>
      <w:r>
        <w:rPr>
          <w:b/>
        </w:rPr>
        <w:t>E. 6</w:t>
      </w:r>
    </w:p>
    <w:p>
      <w:r>
        <w:t>Zusammenfassend ergibt sich, dass die Beschwerde im Sinne der Erwägungen teilweise gutzuheissen (E. 5.1), im Übrigen (E. 5.2) jedoch abzuweisen ist. Die Position 1.3 der EA Nr. ... reduziert sich im Umfang der Umsätze aus Seminaren bei der Z._______ (E. 5.1), soweit es sich dabei nicht um Entgelte für die Referententätigkeit des Verwaltungsratspräsidenten der Rechtsvorgängerin der Beschwerdeführerin (E. 5.2) handelt. Anhand dieser Faktoren ist auch die Vorsteuerkürzung gemäss Position 2.3 der EA Nr. ... neu zu berechnen. Der angefochtene Einspracheentscheid vom 12. Februar 2007 ist somit aufzuheben und die Rechtssache zur Festsetzung des neu geschuldeten Mehrwertsteuerbetrags im Sinne der Erwägungen an die ESTV zurückzuweisen.</w:t>
      </w:r>
    </w:p>
    <w:p>
      <w:r>
        <w:rPr>
          <w:b/>
        </w:rPr>
        <w:t>E. 7</w:t>
      </w:r>
    </w:p>
    <w:p>
      <w:r>
        <w:t>Die Kosten des Verfahrens werden nach Art. 63 Abs. 4 VwVG und Art. 4 des Reglements vom 21. Februar 2008 über die Kosten und Entschädigungen vor dem Bundesverwaltungsgericht (VGKE, SR 173.320.2) auf Fr. ... angesetzt. Angesichts des Ausgangs des Verfahrens obsiegt die Beschwerdeführerin lediglich teilweise, weshalb sie gemäss Art. 63 Abs. 1 VwVG die Verfahrenskosten an und für sich in reduziertem Umfang zu tragen hätte. Abweichungen von Grundsatz der Kostentragung im Verhältnis des Unterliegens werden ausnahmsweise jedoch dann vorgenommen, wenn die Kosten durch Verletzung von Verfahrenspflichten verursacht worden sind (Art. 63 Abs. 3 VwVG); dies ist insbesondere der Fall, wenn die Beschwerdeführerin das Beschwerdeverfahren und/oder das vorinstanzliche Verfahren durch Verletzung ihrer Mitwirkungspflicht unnötigerweise verursacht bzw. in die Länge gezogen hat (Moser/Beusch/Kneubühler, a.a.O., Rz. 4.52). Gemäss der Rechtsprechung rechtfertigt sich eine Ausnahme von der Kostenlosigkeit namentlich dann, wenn ein Mehrwertsteuerpflichtiger seinen Mitwirkungspflichten nicht nachgekommen ist (Urteil des Bundesverwaltungsgerichts A-1566/2006 vom 11. August 2008 E. 5 mit weiteren Hinweisen); im Anwendungsbereich des Selbstveranlagungsprinzips (Art. 37 f. MWSTV, vgl. dazu oben, E. 3.2) oblag es nicht der Vorinstanz, von Amtes wegen nach steuermindernden Tatsachen zu forschen (vgl. oben, E. 2.2), sondern der Beschwerdeführerin als (Rechtsnachfolgerin der) Steuerpflichtigen, der ESTV über alle Tatsachen, die für die Steuerbemessung von Bedeutung sein können, Auskunft zu erteilen (Art. 46 MWSTV). Unbestrittenerweise wurden anlässlich der Kontrolle im September 2000 Rechnungen als Bestandteile der Buchhaltungen geprüft; dass jedoch dem betreffenden Inspektor bzw. der ESTV die als ausschlaggebend anzusehende Übersicht über die Zusammenstellung der Seminarmodule anlässlich dieser Kontrolle oder zu einem anderen Zeitpunkt vor der Einreichung der Beschwerde an das Bundesverwaltungsgericht zu Kenntnis gebracht worden wäre, hat die Beschwerdeführerin nicht rechtsgenügend dargetan und ist im Übrigen auch nicht ersichtlich. Angesichts des Umstandes, dass die Beschwerdeführerin das für ihr teilweises Obsiegen relevante Beweismittel erst im Beschwerdeverfahren und damit verspätet eingereicht hat, sind ihr die Verfahrenskosten vollständig aufzuerlegen; die auferlegten Kosten werden mit dem geleisteten Kostenvorschuss verrechnet. Aus dem gleichen Grund ist der Beschwerdeführerin auch keine Parteientschädigung zuzusprechen (Urteil des Bundesverwaltungsgerichts A-1566/2006 vom 11. August 2008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