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A-190/2013 vom 27. Mai 2013</w:t>
      </w:r>
    </w:p>
    <w:p>
      <w:r>
        <w:t>Bundesverwaltungsgericht, 2013-05-27, DE</w:t>
      </w:r>
    </w:p>
    <w:p>
      <w:r>
        <w:rPr>
          <w:b/>
        </w:rPr>
        <w:t xml:space="preserve">Quelle: </w:t>
      </w:r>
      <w:r>
        <w:t>https://mcp.opencaselaw.ch/entscheid/bvger_A-190_2013</w:t>
      </w:r>
    </w:p>
    <w:p>
      <w:r>
        <w:t>FR: TAF A-190/2013 du 27 mai 2013</w:t>
      </w:r>
    </w:p>
    <w:p>
      <w:r>
        <w:t>IT: TAF A-190/2013 del 27 maggio 2013</w:t>
      </w:r>
    </w:p>
    <w:p>
      <w:pPr>
        <w:pStyle w:val="Heading2"/>
      </w:pPr>
      <w:r>
        <w:t>Regeste</w:t>
      </w:r>
    </w:p>
    <w:p>
      <w:r>
        <w:t>Hausinstallationen</w:t>
      </w:r>
    </w:p>
    <w:p>
      <w:pPr>
        <w:pStyle w:val="Heading2"/>
      </w:pPr>
      <w:r>
        <w:t>Erwägungen</w:t>
      </w:r>
    </w:p>
    <w:p>
      <w:r>
        <w:rPr>
          <w:b/>
        </w:rPr>
        <w:t>E. 1</w:t>
      </w:r>
    </w:p>
    <w:p>
      <w:r>
        <w:t>Das Bundesverwaltungsgericht ist zur Behandlung von Beschwerden gegen Verfügungen des ESTI zuständig (Art. 23 des Elektrizitätsgesetzes vom 24. Juni 1902 [EleG, SR 734.0] und Art. 31 ff. des Verwaltungsgerichtsgesetzes vom 17. Juni 2005 [VGG, SR 173.32]). Die Beschwerdeführerin ist Adressatin der angefochtenen Verfügung und durch diese auch materiell beschwert. Sie ist damit nach Art. 48 Abs. 1 des Verwaltungsverfahrensgesetzes vom 20. Dezember 1968 (VwVG, SR 172.021) zur Beschwerde berechtigt. Auf die im Übrigen frist- und formgerecht eingereichte Beschwerde (Art. 50 Abs. 1 und Art. 52 Abs. 1 VwVG) ist demnach einzutreten.</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w:t>
      </w:r>
    </w:p>
    <w:p>
      <w:r>
        <w:rPr>
          <w:b/>
        </w:rPr>
        <w:t>E. 3.1</w:t>
      </w:r>
    </w:p>
    <w:p>
      <w:r>
        <w:t>Elektrische Installationen müssen nach den anerkannten Regeln der Technik erstellt, geändert, in Stand gehalten und kontrolliert werden (Art. 3 EleG i.V.m. Art. 3 Abs. 1 der Verordnung vom 7. November 2001 über elektrische Niederspannungsinstallationen [NIV; SR 734.27]). Gemäss Art. 20 Abs. 1 EleG ist der Betriebsinhaber (Eigentümer, Pächter usw.) für die Beaufsichtigung der elektrischen Anlagen und die Überwachung ihres guten Zustandes verantwortlich. Gemäss Art. 5 NIV hat der Eigentümer dafür zu sorgen, dass seine elektrischen Installationen ständig den gesetzlichen Anforderungen an die Sicherheit (Art. 3 NIV) und zur Vermeidung von Störungen (Art. 4 NIV) genügen. Festgestellte Mängel muss der Eigentümer unverzüglich, resp. innerhalb der vom zuständigen Organ gesetzten Frist, durch einen installationsberechtigten Fachmann beheben lassen (Art. 5 Abs. 3 und Art. 40 Abs. 1 und 2 NIV). Die Durchführung von technischen Kontrollen und die Ausstel­lung der entsprechenden Sicherheitsnachweise erfolgen von unabhän­gigen Kontrollorganen und akkreditierten Inspektionsstellen im Auftrag der Eigentümer der elektrischen Installationen (Art. 32 Abs. 1 NIV; s.a. Urteil des Bundesgerichts 2C_1/2009 vom 11. September 2009 E. 4.3.2). Eine periodische Sicherheitsprüfung erfolgt für Privathaushalte alle 20 Jahre (Art. 32 Abs. 4 NIV i.V.m. Anhang Ziff. 2 Bst. d NIV). Wenn die Angelegenheit zur Durchsetzung an die Vorinstanz übertragen wird, kann diese eine kostenpflichtige Verfügung erlassen und für den Widerhandlungsfall den Erlass einer Ordnungsbusse in Aussicht stellen (Art. 56 Abs. 1 EleG i.V.m. Art. 41 Abs. 2 VwVG).</w:t>
      </w:r>
    </w:p>
    <w:p>
      <w:r>
        <w:rPr>
          <w:b/>
        </w:rPr>
        <w:t>E. 3.2</w:t>
      </w:r>
    </w:p>
    <w:p>
      <w:r>
        <w:t>Die Beschwerdeführerin ist als Eigentümerin der hier interessierenden Liegenschaft dafür verantwortlich, den Sicherheitsnachweis zu erbringen. Die letzte Kontrolle fand 1989/90 statt, weshalb sie im Jahr 2009 zu Recht aufgefordert wurde, wiederum eine Kontrolle durchführen zu lassen. Dies hat sie schliesslich im Lauf des vorliegenden Verfahrens am 29. Juli 2010 getan; anlässlich dieser Kontrolle wurden jedoch Mängel festgestellt. Das Argument der Beschwerdeführerin, sie habe mit verschiedenen Elektrikern telefoniert, genügt für die Erbringung des Sicherheitsnachweises nicht. Vielmehr ist erforderlich, dass sie die Mängel innert der gesetzten Frist tatsächlich beheben lässt und dies dann meldet. Dieser Pflicht ist sie nicht nachgekommen, weshalb die Vorinstanz ihr zu Recht mittels der Verfügung unter Androhung einer Ordnungsbusse eine Frist dafür angesetzt hat.</w:t>
      </w:r>
    </w:p>
    <w:p>
      <w:r>
        <w:rPr>
          <w:b/>
        </w:rPr>
        <w:t>E. 4</w:t>
      </w:r>
    </w:p>
    <w:p>
      <w:r>
        <w:t>Die Beschwerdeführerin verlangt im Weiteren die Aufhebung der ihr in der angefochtenen Verfügung auferlegten Verwaltungsgebühr. Gemäss Art. 41 NIV erhebt die Vorinstanz für die Kontrolltätigkeit und für Verfügungen nach dieser Verordnung Gebühren gemäss Art. 9 und 10 der Verordnung vom 7. Dezember 1992 über das Eidgenössische Stark­strom­inspektorat (VO-ESTI, SR 734.24). Danach betragen die nach Aufwand zu bemessenden Gebühren für eine Verfügung höchstens Fr. 1'500.-, wobei der benötigte tatsächliche Aufwand massgebend ist (Art. 9 Abs. 1 und Abs. 2 VO-ESTI). Der Vorinstanz kommt innerhalb dieses Gebührenrahmens ein erheblicher Ermessenspielraum zu (statt vieler Urteile des Bundesverwaltungsgerichts A-6529/2012 vom 22. April 2013 E. 3.4 und A-822/2012 vom 12. März 2013 E. 4.4 m.H.). Die erhobene Gebühr von Fr. 600.00 bewegt sich im mittleren Bereich der vorgegebenen Bandbreite. Die Vorinstanz hatte bei der Bearbeitung der Angelegenheit ausserdem einen erheblichen Aufwand zu betreiben: So war das überwiesene Dossier zu prüfen, der Beschwerdeführerin eine Nachfrist anzusetzen, die Einhaltung der Frist zu kontrollieren und schliesslich eine anfechtbare Verfügung zu erlassen. Klärend festzuhalten ist, dass es sich bei dieser Gebühr nicht (wie von der Beschwerdeführerin vermutet) um eine Busse oder Strafe handelt, sondern damit der Aufwand für den Erlass dieser Verfügung abgegolten wird. In Anbetracht dieses Aufwandes erscheint eine Gebühr von Fr. 600.00 als angemessen. Die Erhebung der Gebühr ist daher weder im Grundsatz noch in der Höhe zu beanstanden.</w:t>
      </w:r>
    </w:p>
    <w:p>
      <w:r>
        <w:rPr>
          <w:b/>
        </w:rPr>
        <w:t>E. 5</w:t>
      </w:r>
    </w:p>
    <w:p>
      <w:r>
        <w:t>Zusammenfassend kann festgehalten werden, dass die Vorinstanz die Beschwerdeführerin zu Recht in einer anfechtbaren Verfügung aufgefordert hat, den ausstehenden Sicherheitsnachweis zu erbringen, ihr hierfür eine Verwaltungsgebühr von Fr. 600.- auferlegt und für den Fall der Missachtung dieser Verfügung den Erlass einer Ordnungsbusse in Aussicht gestellt hat. Die Beschwerde wird deshalb abgewiesen.</w:t>
      </w:r>
    </w:p>
    <w:p>
      <w:r>
        <w:rPr>
          <w:b/>
        </w:rPr>
        <w:t>E. 6</w:t>
      </w:r>
    </w:p>
    <w:p>
      <w:r>
        <w:t>Bei diesem Ausgang des Verfahrens gilt die Beschwerdeführerin als unterliegend, weshalb sie die Verfahrenskosten zu tragen hat (Art. 63 Abs. 1 VwVG). Diese werden auf Fr. 500.- festgesetzt (Art. 1 ff. des Reglements vom 21. Februar 2008 über die Kosten und Entschädigungen vor dem Bundesverwaltungsgericht [VGKE, SR 173.320.2]) und mit dem geleisteten Kostenvorschuss in derselben Höhe verrechnet. Angesichts ihres Unterliegens steht der Beschwerdeführerin keine Parteientschädigung zu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