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A-189/2015 vom 25. September 2015</w:t>
      </w:r>
    </w:p>
    <w:p>
      <w:r>
        <w:t>Bundesverwaltungsgericht, 2015-09-25, FR</w:t>
      </w:r>
    </w:p>
    <w:p>
      <w:r>
        <w:rPr>
          <w:b/>
        </w:rPr>
        <w:t xml:space="preserve">Quelle: </w:t>
      </w:r>
      <w:r>
        <w:t>https://mcp.opencaselaw.ch/entscheid/bvger_A-189_2015</w:t>
      </w:r>
    </w:p>
    <w:p>
      <w:r>
        <w:t>FR: TAF A-189/2015 du 25 septembre 2015</w:t>
      </w:r>
    </w:p>
    <w:p>
      <w:r>
        <w:t>IT: TAF A-189/2015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315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Ce logement abrite d'ailleurs au rez-de-chaussée une douane (cf. bordereau de pièces du recourant, pièce n° 10).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Dans un premier moyen, le recourant estime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 et réf. cit.).</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Dans un deuxième moyen, le recourant estime que les modalités fixées dans les directives du DFF pour estimer le dédommagement de son logement de fonction violent le principe de l'égalité de traitement en retenant un prix au mètre carré identique que le garde-frontière soit attribué à un logement de service dans la Commune (...), dans l'axe de l'aéroport international de Genève, ou dans un quartier résidentiel calme, à (...). La solution à laquelle l'autorité inférieure est arrivée serait en outre disproportionnée et abusive. Les différentes déductions prévues par les directives n'y changeraient par ailleurs rien. L'autorité inférieure lui oppose que la méthode de calcul est objective et repose sur les données scientifiquement établies par l'Office fédéral de la statistique OFS.</w:t>
      </w:r>
    </w:p>
    <w:p>
      <w:r>
        <w:rPr>
          <w:b/>
        </w:rPr>
        <w:t>E. 6.2</w:t>
      </w:r>
    </w:p>
    <w:p>
      <w:r>
        <w:t>L'occupation d'un logement de fonction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concernée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w:t>
      </w:r>
    </w:p>
    <w:p>
      <w:r>
        <w:t>En l'espèce, le nouveau dédommagement du logement de service du recourant a été établi selon un critère objectif, c'est-à-dire en fonction de sa surface (79.10 m2) et de son prix au mètre carré (150 fr./m2 pour l'agglomération de Genève). Ces critères, posés par les directives du DFF (cf. ch. 3), ont pour but de ne pas créer des différences injustifiées entre les gardes-frontière genevois.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6.3.1</w:t>
      </w:r>
    </w:p>
    <w:p>
      <w:r>
        <w:t>Quant à la valeur au mètre carré retenue par l'autorité inférieure (150 fr./m2), elle tient compte de la répartition de toutes les communes sur le territoire suisse conformément aux données de l'Office fédéral de la statistique OFS et de l'indice suisse des prix à la consommation (110.92 points [2012], précédemment 100 points [2000]). Cette méthode de calcul repose donc sur la jurisprudence, qui a déjà rappelé que l'inclusion de certaines communes genevoises dans l'agglomération de Genève, opérée par l'Office fédéral de la statistique OFS, reposait sur une analyse scientifique crédible, fondée sur des critères transparents et tangibles et émanant au surplus d'un office fédéral spécialisé en la matière (cf. JAAC 65.81 consid. 5b). Il n'y a pas lieu d'y revenir. Une commune doit par conséquent remplir trois des cinq conditions suivantes pour être intégrée à l'agglomération de Genève (cf. JAAC 65.81 consid. 5a/bb) : lien de continuité de la zone bâtie avec la commune centrale ; forte densité combinée habitants/emplois ; croissance de la population supérieure à la moyenne ; faible proportion de population agricole ; pendularité dense avec la zone centrale de l'agglomération. Le critère de la continuité de la zone bâtie n'a ainsi pas la portée que lui prête le recourant. Il s'agit seu­lement de l'un des cinq critères utilisés et il n'est pas contesté en l'espèce que la Commune (...) remplit au moins trois des autres critères pour être inclue dans l'agglomération de Genève (cf. Schuler/Joye/Dessemontet, Recensement fédéral de la population 2000, Les niveaux géographiques de la Suisse, Office fédéral de la statistique, 2005, p. 103).</w:t>
      </w:r>
    </w:p>
    <w:p>
      <w:r>
        <w:rPr>
          <w:b/>
        </w:rPr>
        <w:t>E. 6.3.2</w:t>
      </w:r>
    </w:p>
    <w:p>
      <w:r>
        <w:t>Par ailleurs, le montant du dédommagement fixé en l'espèce par l'autorité inférieure (988 fr. 75 [79.10 m2 x 150 fr./m2 / 12], sans déduction/supplément), pour un trois pièces,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68 % de ce montant. Dans ces circonstances, le dédommagement fixé par l'autorité inférieure n'apparaît pas hors de proportion avec la prestation octroyée. Il faut également relever que, par le choix d'une augmentation échelonnée en trois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serait particulièrement isolé. Le bâtiment jouit d'ailleurs d'une position centrale dans sa commune de situation. L'autorité inférieure n'a dès lors pas outrepassé son pouvoir d'appréciation en accordant une unique déduction (absence d'un lave-vaisselle). Les différents griefs du recourant seront par conséquent rejetés.</w:t>
      </w:r>
    </w:p>
    <w:p>
      <w:r>
        <w:rPr>
          <w:b/>
        </w:rPr>
        <w:t>E. 7</w:t>
      </w:r>
    </w:p>
    <w:p>
      <w:r>
        <w:t>Il est enfin constant que, conformément au bulletin d'information du commandement des gardes-frontière du 10 septembre 2014, si l'augmentation du dédommagement excède 150 francs par mois, la mise en oeuvre a lieu en principe en trois étapes : 1ère étape : hausse du dédommagement mensuel jusqu'à 150 francs dès le 1er janvier 2015 ; 2ème étape : nouvelle hausse du dédommagement mensuel jusqu'à 150 francs dès le 1er janvier 2016 ; 3ème étape : hausse du dédommagement mensuel égale au montant résiduel dès le 1er janvier 2017. Il n'est dès lors pas critiquable, au vu du pouvoir d'appréciation de l'autorité inférieure, que celle-ci fasse supporter au recourant la hausse du dédommagement de son logement de service en trois étapes (150 francs au 1er janvier 2015, 150 francs au 1er janvier 2016 et 15 francs supplémentaires au 1er janvier 2017). Cette répartition apparaît égale­ment opportune aux présentes circonstances.</w:t>
      </w:r>
    </w:p>
    <w:p>
      <w:r>
        <w:rPr>
          <w:b/>
        </w:rPr>
        <w:t>E. 8</w:t>
      </w:r>
    </w:p>
    <w:p>
      <w:r>
        <w:t>Au vu des considérants qui précèdent, la décision attaquée est conforme au droit et le recours s'avère mal fondé, ce qui conduit à son rejet.</w:t>
      </w:r>
    </w:p>
    <w:p>
      <w:r>
        <w:rPr>
          <w:b/>
        </w:rPr>
        <w:t>E. 9.1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9.2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