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A-1869/2023 vom 25. August 2025</w:t>
      </w:r>
    </w:p>
    <w:p>
      <w:r>
        <w:t>Bundesverwaltungsgericht, 2025-08-25, DE</w:t>
      </w:r>
    </w:p>
    <w:p>
      <w:r>
        <w:rPr>
          <w:b/>
        </w:rPr>
        <w:t xml:space="preserve">Quelle: </w:t>
      </w:r>
      <w:r>
        <w:t>https://mcp.opencaselaw.ch/entscheid/bvger_A-1869_2023</w:t>
      </w:r>
    </w:p>
    <w:p>
      <w:r>
        <w:t>FR: TAF A-1869/2023 du 25 août 2025</w:t>
      </w:r>
    </w:p>
    <w:p>
      <w:r>
        <w:t>IT: TAF A-1869/2023 del 25 agosto 2025</w:t>
      </w:r>
    </w:p>
    <w:p>
      <w:pPr>
        <w:pStyle w:val="Heading2"/>
      </w:pPr>
      <w:r>
        <w:t>Regeste</w:t>
      </w:r>
    </w:p>
    <w:p>
      <w:r>
        <w:t>Amtshilfe</w:t>
      </w:r>
    </w:p>
    <w:p>
      <w:pPr>
        <w:pStyle w:val="Heading2"/>
      </w:pPr>
      <w:r>
        <w:t>Erwägungen</w:t>
      </w:r>
    </w:p>
    <w:p>
      <w:r>
        <w:rPr>
          <w:b/>
        </w:rPr>
        <w:t>E. 1.1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1.2</w:t>
      </w:r>
    </w:p>
    <w:p>
      <w:r>
        <w:t>Das Bundesverwaltungsgericht ist gemäss Art. 31 VGG zur Behandlung der Beschwerde zuständig, zumal keine Ausnahme im Sinne von Art. 32 VGG vorliegt (vgl. Art. 19 Abs. 1 und 5 StAhiG).</w:t>
      </w:r>
    </w:p>
    <w:p>
      <w:r>
        <w:rPr>
          <w:b/>
        </w:rPr>
        <w:t>E. 1.3</w:t>
      </w:r>
    </w:p>
    <w:p>
      <w:r>
        <w:t>Der Beschwerdeführer ist als Adressat der Schlussverfügung und Person, deren Daten übermittelt werden sollen, betroffene Person im Sinne von Art. 3 Bst. a StAhiG und als solche zur Beschwerde legitimiert (vgl. Art. 19 Abs. 2 StAhiG i.V.m. Art. 48 VwVG).</w:t>
      </w:r>
    </w:p>
    <w:p>
      <w:r>
        <w:rPr>
          <w:b/>
        </w:rPr>
        <w:t>E. 1.4</w:t>
      </w:r>
    </w:p>
    <w:p>
      <w:r>
        <w:t>Da auch die weiteren Sachurteilsvoraussetzungen erfüllt sind, ist auf die Beschwerde einzutreten.</w:t>
      </w:r>
    </w:p>
    <w:p>
      <w:r>
        <w:rPr>
          <w:b/>
        </w:rPr>
        <w:t>E. 2</w:t>
      </w:r>
    </w:p>
    <w:p>
      <w:r>
        <w:t>Einzugehen ist zuerst auf die Rüge der Verletzung des rechtlichen Gehörs.</w:t>
      </w:r>
    </w:p>
    <w:p>
      <w:r>
        <w:rPr>
          <w:b/>
        </w:rPr>
        <w:t>E. 2.1</w:t>
      </w:r>
    </w:p>
    <w:p>
      <w:r>
        <w:t>Der Beschwerdeführer rügt, die Vorinstanz sei ihrer Begründungspflicht nicht nachgekommen. Sie begnüge sich mit einer Zusammenstellung von Textbausteinen und pauschalen Subsumptionen. So berücksichtige sie seine Vorbringen zur voraussichtlichen Erheblichkeit nicht.</w:t>
      </w:r>
    </w:p>
    <w:p>
      <w:r>
        <w:rPr>
          <w:b/>
        </w:rPr>
        <w:t>E. 2.2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2.3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2.4</w:t>
      </w:r>
    </w:p>
    <w:p>
      <w:r>
        <w:t>Die Vorinstanz hat für jedes im Listenersuchen aufgeführte Bankkonto ein eigenes Verfahren eröffnet; insgesamt handelt es sich um elf Verfahren, die sie am 28. Februar 2023 und am 3. März 2023 mit diversen Schlussverfügungen abgeschlossen hat.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dem anwaltlich vertretenen Beschwerdeführer zumutbar war, die für ihn relevanten Erwägungen zu identifizieren. Dass der Beschwerdeführer die Verfügung nicht sachgerecht anfechten konnte, ist denn auch nicht ersichtlich. Eine Verletzung der Begründungspflicht liegt somit nicht vor.</w:t>
      </w:r>
    </w:p>
    <w:p>
      <w:r>
        <w:rPr>
          <w:b/>
        </w:rPr>
        <w:t>E. 2.5</w:t>
      </w:r>
    </w:p>
    <w:p>
      <w:r>
        <w:t>Selbst wenn im Übrigen die Vorinstanz ihre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des Beschwerdeführers - wenn auch kurz und teilweise durch Verweis auf ihre Verfügung - geäussert, und dieser hatte die Möglichkeit, hierzu Stellung zu nehmen.</w:t>
      </w:r>
    </w:p>
    <w:p>
      <w:r>
        <w:rPr>
          <w:b/>
        </w:rPr>
        <w:t>E. 3</w:t>
      </w:r>
    </w:p>
    <w:p>
      <w:r>
        <w:t>In materieller Hinsicht erhebt der Beschwerdeführer Einwände gegen die zeitliche Anwendbarkeit des MAC (vgl. nachfolgend E. 3.2) und die voraussichtliche Erheblichkeit der nachgesuchten Bankinformationen (vgl. nachfolgend E. 4 ff.). Schliesslich rügt er die Verletzung des Grundsatzes der Subsidiarität (vgl. nachfolgend E. 5).</w:t>
      </w:r>
    </w:p>
    <w:p>
      <w:r>
        <w:rPr>
          <w:b/>
        </w:rPr>
        <w:t>E. 3.1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3.2</w:t>
      </w:r>
    </w:p>
    <w:p>
      <w:r>
        <w:t>Zu beurteilen ist, ob das MAC in zeitlicher Hinsicht anwendbar ist.</w:t>
      </w:r>
    </w:p>
    <w:p>
      <w:r>
        <w:rPr>
          <w:b/>
        </w:rPr>
        <w:t>E. 3.2.1</w:t>
      </w:r>
    </w:p>
    <w:p>
      <w:r>
        <w:t>Der Beschwerdeführer beantragt für den Fall, dass sein Hauptantrag auf Aufhebung der Verfügung abgewiesen werde, es sei die Schlussverfügung insoweit aufzuheben, als sie die Übermittlung von Informationen über Sachverhalte betreffe, die sich vor dem 1. Januar 2018 zugetragen hätten (vgl. Sachverhalt, C). Er bringt vor, die Voraussetzungen von Art. 28 Abs. 7 MAC (vgl. zum Wortlaut der Bestimmung E. 3.2.4) für eine Amtshilfe über frühere Besteuerungsperioden seien nicht gegeben. Denn es lägen keine konkreten Anhaltspunkte für ein nach dem israelischen Recht strafbares Verhalten vor.</w:t>
      </w:r>
    </w:p>
    <w:p>
      <w:r>
        <w:rPr>
          <w:b/>
        </w:rPr>
        <w:t>E. 3.2.2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3.2.3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3.2.4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3.2.5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3.2.6</w:t>
      </w:r>
    </w:p>
    <w:p>
      <w:r>
        <w:t>Es bestehen vorliegend konkrete Anhaltspunkte, dass die mit den Zweitkonten verbundenen Personen - darunter der Beschwerdeführer - sich in Israel steuerrechtswidrig verhalten haben. Dies wird im Rahmen der Voraussetzung der voraussichtlichen Erheblichkeit näher darzulegen sein (vgl. nachfolgend E. 4.5). Der Beschwerdeführer zeigt nicht auf, dass die entsprechenden - nachvollziehbaren und plausibel erscheinenden- Angaben der ITA offenkundig unzutreffend sind. Entgegen der Ansicht des Beschwerdeführers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4.3 ff.; Urteil des BVGer vom A-1883/2021 vom 22. Februar 2022 E. 4.3.3.1 und 4.4.2). Die ITA vermag daher einen begründeten Anfangsverdacht darzutun, dass die vom Ersuchen erfassten Personen, darunter der Beschwerdeführer, Einkünfte im ersuchenden Staat vorsätzlich nicht deklariert haben könnten (vgl. nachfolgend E. 4.5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w:t>
      </w:r>
    </w:p>
    <w:p>
      <w:r>
        <w:rPr>
          <w:b/>
        </w:rPr>
        <w:t>E. 3.2.7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und ist damit zeitlich vom MAC erfasst.</w:t>
      </w:r>
    </w:p>
    <w:p>
      <w:r>
        <w:rPr>
          <w:b/>
        </w:rPr>
        <w:t>E. 4</w:t>
      </w:r>
    </w:p>
    <w:p>
      <w:r>
        <w:t>Strittig und zu beurteilen ist sodann die Voraussetzung der voraussichtlichen Erheblichkeit der nachgesuchten Bankinformationen nach Art. 4 Abs. 1 i.V.m. Art. 5 Abs. 1 MAC.</w:t>
      </w:r>
    </w:p>
    <w:p>
      <w:r>
        <w:rPr>
          <w:b/>
        </w:rPr>
        <w:t>E. 4.1</w:t>
      </w:r>
    </w:p>
    <w:p>
      <w:r>
        <w:t>Der Beschwerdeführer wendet gegen die voraussichtliche Erheblichkeit im Wesentlichen ein, die bundesgerichtlichen Kriterien über die voraussichtliche Erheblichkeit bei Listenersuchen seien nicht erfüllt. Hinsichtlich des ersten Kriteriums macht der Beschwerdeführer geltend, das Ersuchen enthalte keine "Bankennummer/Personennummer", die ihm einzeln zugeordnet werden könne und ihn im Sinne der bundesgerichtlichen Rechtsprechung identifiziere (vgl. Beschwerde, Rz. 42). Zum zweiten und dritten Kriterium macht der Beschwerdeführer geltend, es fehlten die erforderlichen Anhaltspunkte dafür, dass er oder die weiteren mit den Zweitkonten verbundenen Personen sich in Israel steuerrechtswidrig verhalten hätten. Allein die Verbindung mit einem Konto, auf das andere Personen mutmasslich unversteuerte Gelder überwiesen hätten, genüge nicht. Vielmehr sei es unhaltbar, gestützt hierauf einen Verdacht auf ein steuerwidriges Verhalten in Israel anzunehmen. Der Beschwerdeführer führt weiter aus, er sei Aktionär der G._______ AG, der Kontoinhaberin des streitbetroffenen Kontos. Diese habe ihren Sitz in (...) und sei in Israel nicht steuerpflichtig. Er habe seine Einkünfte aus den Aktien an der Gesellschaft sowohl gegenüber den (...) als auch gegenüber den israelischen Behörden deklariert, um das Doppelbesteuerungsabkommen zwischen (...) und Israel in Anspruch zu nehmen. Der Beschwerdeführer bringt sodann vor, der Jahresendsaldo eines einzelnen Bankkontos gebe keinen Aufschluss über die Gewinne der Kontoinhaberin und deren Verwendung. Es sei deshalb wenig wahrscheinlich, dass die einverlangten Unterlagen über ein einzelnes Bankkonto für die Beurteilung seiner Steuerangelegenheiten in Israel dienlich seien.</w:t>
      </w:r>
    </w:p>
    <w:p>
      <w:r>
        <w:rPr>
          <w:b/>
        </w:rPr>
        <w:t>E. 4.2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wirtschaftlich Berechtigten am visierten Konto angehe, seien nur die Informationen verbindlich, die bei der Bank registriert sind. Der Beschwerdeführer sei gemäss den von der Bank erhaltenen Informationen während des vom Ersuchen erfassten Zeitraums bei der Bank als wirtschaftlich Berechtigter am visierten Konto registriert gewesen. Ein Fehler der Bank in der Verwaltung der persönlichen Daten des Beschwerdeführers gehe aus den von ihm eingereichten Dokumenten nicht hervor. Die ESTV könne die Angaben der Bank deshalb nicht in Frage stellen. Im Übrigen, so die Vorinstanz in ihrer Vernehmlassung zusammengefasst, habe der Beschwerdeführer berufliche Kontakte zu einer Person gehabt, die Inhaberin eines von der ITA untersuchten Erstkontos sei (vgl. nachfolgend E. 4.5.2). Es sei demnach eine plausible Annahme, dass am Zweitkonto verfügungsberechtigte Personen, zu denen auch der Beschwerdeführer gehöre, weitere Vermögenswerte in Israel verheimlicht haben könnten.</w:t>
      </w:r>
    </w:p>
    <w:p>
      <w:r>
        <w:rPr>
          <w:b/>
        </w:rPr>
        <w:t>E. 4.3.1</w:t>
      </w:r>
    </w:p>
    <w:p>
      <w:r>
        <w:t>Gemäss Art. 5 Abs. 1 i.V.m. Art. 4 Abs. 1 MAC erteilt der ersuchte Staat auf Ersuchen des anderen Staats diesem alle Informationen, die für die Anwendung oder Durchsetzung seines innerstaatlichen Rechts betreffend die unter das MAC fallenden Steuern voraussichtlich erheblich sind.</w:t>
      </w:r>
    </w:p>
    <w:p>
      <w:r>
        <w:rPr>
          <w:b/>
        </w:rPr>
        <w:t>E. 4.3.2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4.3.3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4.3.4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4.4.1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Ob die betroffene Person im ersuchenden Staat tatsächlich steuerlich ansässig ist, ist eine materielle Frage, die von dessen Behörden zu beurteilen ist (vgl. BGE 145 II 112 E. 2.2.2; Urteil vom A-5680/2023 vom 18. November 2024 E. 3.3.2).</w:t>
      </w:r>
    </w:p>
    <w:p>
      <w:r>
        <w:rPr>
          <w:b/>
        </w:rPr>
        <w:t>E. 4.4.2</w:t>
      </w:r>
    </w:p>
    <w:p>
      <w:r>
        <w:t>Der Beschwerdeführer ist nach eigenen Angaben israelischer Staatsbürger und derzeit im ersuchenden Staat unbeschränkt steuerlich ansässig (vgl. Beschwerde, Rz. 26, 59; Stellungnahme vom 7. November 2022, S. 2); die nachgesuchten Bankunterlagen führen als seine Domiziladresse eine Adresse in Israel auf. Es erscheint deshalb als zumindest möglich, dass er auch während der relevanten Besteuerungsperiode (2014 bis 2020) im ersuchenden Staat steuerlich ansässig war, zumal er nichts Gegenteiliges stichhaltig vorbringt.</w:t>
      </w:r>
    </w:p>
    <w:p>
      <w:r>
        <w:rPr>
          <w:b/>
        </w:rPr>
        <w:t>E. 4.5</w:t>
      </w:r>
    </w:p>
    <w:p>
      <w:r>
        <w:t>Es ist des Weiteren zu prüfen, ob die von der Rechtsprechung entwickelten Kriterien zur Beurteilung der voraussichtlichen Erheblichkeit bei Listenersuchen (vgl. vorstehend E. 4.3.4) vorliegend erfüllt sind.</w:t>
      </w:r>
    </w:p>
    <w:p>
      <w:r>
        <w:rPr>
          <w:b/>
        </w:rPr>
        <w:t>E. 4.5.1</w:t>
      </w:r>
    </w:p>
    <w:p>
      <w:r>
        <w:t>Das Ersuchen beschreibt die anvisierte Gruppe hinreichend detailliert. Die zur umschriebenen Gruppe gehörenden Personen, darunter der Beschwerdeführer, können anhand ihrer Verbindung mit einem bestimmten, im Listenersuchen aufgeführten Konto identifiziert werden. Konkret weisen die nachgesuchten Bankunterlagen den Beschwerdeführer als wirtschaftlich berechtigte Person (mit E-Banking-Zugang) am streitbetroffenen Konto aus. Es ist mit der Vorinstanz davon auszugehen, dass die Informationsinhaberin als in der Schweiz zugelassene und beaufsichtigte Bank die entsprechenden Informationen geprüft hat. Der Beschwerdeführer zeigt nicht auf, dass insoweit ein offenkundiger Fehler der Informationsinhaberin besteht. Es ist deshalb die Richtigkeit dieser Informationen zu vermuten (vgl. Urteil des BVGer A-1597/2022 vom 14. Juni 2024 E. 7.2.2). Eine zusätzliche Identifikation über eine individuell zuordenbare "Bankennummer/Personennummer" ist deshalb nicht erforderlich. Eine solche Anforderung lässt sich - anders als der Beschwerdeführer behauptet - auch nicht aus BGE 146 II 150 E. 4.3 ff. ableiten. Die Darstellung der Umstände, die zum Ersuchen geführt haben, erscheint ebenfalls genügend (vgl. Sachverhalt, A.a, sowie nachfolgend). Die erste Voraussetzung ist damit erfüllt.</w:t>
      </w:r>
    </w:p>
    <w:p>
      <w:r>
        <w:rPr>
          <w:b/>
        </w:rPr>
        <w:t>E. 4.5.2</w:t>
      </w:r>
    </w:p>
    <w:p>
      <w:r>
        <w:t>Entgegen der Auffassung des Beschwerdeführers ist auch die zweite Voraussetzung erfüllt. Die zur umschriebenen Gruppe gehörenden Personen waren im relevanten Zeitraum mit (Zweit-)Konten verbunden, auf die Vermögenswerte von in Israel steuerrechtswidrig nicht deklarierten (Erst-) 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3.2.5). Es bestehen zudem, wie dargelegt, hinreichende Anhaltspunkte für einen steuerlichen Bezug des Beschwerdeführers zum ersuchenden Staat (vgl. vorstehend E. 4.4.2). Hinzu kommt ein weiteres, von der Vorinstanz in ihrer Vernehmlassung erwähntes Verdachtsmoment für ein steuerrechtswidriges Verhalten des Beschwerdeführers in Israel: In den Jahren (...) war eine Person namens Y._______ (...) der G._______ AG und zugleich am streitbetroffenen Konto (...). Diese war gemäss den (unbestrittenen) Angaben der Vorinstanz Inhaberin eines im ersuchenden Staat nicht deklarierten Erstkontos. Der Beschwerdeführer stand demnach während der relevanten Besteuerungsperiode mit dem Inhaber eines (Erst-)Kontos in Verbindung, das in Israel nicht deklariert worden war und von dem Guthaben auf das streitbetroffene (Zweit-)Konto transferiert wurden. Die ITA legt sodann - unter Hinweis auf die anwendbaren Bestimmungen des israelischen Steuerrechts (vgl. vorstehend E. 3.2.4) - rechtsgenüglich dar, dass das weltweite Einkommen einer in Israel steuerlich ansässigen Person in Israel steuerbar ist.</w:t>
      </w:r>
    </w:p>
    <w:p>
      <w:r>
        <w:rPr>
          <w:b/>
        </w:rPr>
        <w:t>E. 4.5.3</w:t>
      </w:r>
    </w:p>
    <w:p>
      <w:r>
        <w:t>Die dritte Voraussetzung ist ebenfalls gegeben. Wie erwähnt (vgl. vorstehend E. 4.5.1), war der Beschwerdeführer während des in Frage stehenden Besteuerungszeitraums am betreffenden (Zweit-)Konto wirtschaftlich berechtigt. Die nachgesuchten Informationen ermöglichen es der ITA zu beurteilen, ob der Beschwerdeführer allfällige Steuerpflichten in Israel verletzt hat. Für die entsprechende Beurteilung erscheinen die nachgesuchten Bankunterlagen demnach als potentiell geeignet.</w:t>
      </w:r>
    </w:p>
    <w:p>
      <w:r>
        <w:rPr>
          <w:b/>
        </w:rPr>
        <w:t>E. 4.5.4</w:t>
      </w:r>
    </w:p>
    <w:p>
      <w:r>
        <w:t>Der Amtshilfe steht nicht entgegen, dass der Beschwerdeführer - wie er vorbringt - seine Dividendenerträge aus den Aktien an der G.________ AG gegenüber den Steuerbehörden der (...) und Israels jährlich gemeldet und in Israel vollumfänglich versteuert hat. Dieses Vorbringen betrifft die Auslegung des israelischen Steuerrechts und ist deshalb in einem allfälligen Hauptverfahren im ersuchenden Staat vorzubringen (vgl. E. 3.2.5).</w:t>
      </w:r>
    </w:p>
    <w:p>
      <w:r>
        <w:rPr>
          <w:b/>
        </w:rPr>
        <w:t>E. 4.5.5</w:t>
      </w:r>
    </w:p>
    <w:p>
      <w:r>
        <w:t>Dass im ersuchenden Staat kein steuerrechtliches Verfahren gegen den Beschwerdeführer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4.6</w:t>
      </w:r>
    </w:p>
    <w:p>
      <w:r>
        <w:t>Es besteht demzufolge eine vernünftige Möglichkeit, dass die nachgesuchten Informationen für die Beurteilung der Steuerbelange des Beschwerdeführers in Israel erheblich sind. Gegenteiliges legt dieser nicht überzeugend dar. Eine unzulässige Beweisausforschung liegt nicht vor.</w:t>
      </w:r>
    </w:p>
    <w:p>
      <w:r>
        <w:rPr>
          <w:b/>
        </w:rPr>
        <w:t>E. 5</w:t>
      </w:r>
    </w:p>
    <w:p>
      <w:r>
        <w:t>Der Beschwerdeführer rügt des Weiteren die Verletzung des Grundsatzes der Subsidiarität.</w:t>
      </w:r>
    </w:p>
    <w:p>
      <w:r>
        <w:rPr>
          <w:b/>
        </w:rPr>
        <w:t>E. 5.1</w:t>
      </w:r>
    </w:p>
    <w:p>
      <w:r>
        <w:t>Er macht im Einzelnen geltend, die ITA verlange Informationen zu den mit bestimmten Zweitkonten verbundenen Personen, ohne eigene Untersuchungshandlungen vorgenommen zu haben. Er habe in Bezug auf seine Steuersituation in Israel bisher weder die Anzeige eines Steuerverfahrens noch ein Auskunftsersuchen der israelischen Steuerbehörden erhalten. Diesen seien seine Aktien an der G._______ AG und sein daraus erzieltes Dividendeneinkommen bekannt gewesen, und zwar aufgrund der (...). Mit diesen Informationen wäre es ihnen ein Leichtes gewesen, diesbezüglich bei ihm Rückfragen zu stellen.</w:t>
      </w:r>
    </w:p>
    <w:p>
      <w:r>
        <w:rPr>
          <w:b/>
        </w:rPr>
        <w:t>E. 5.2</w:t>
      </w:r>
    </w:p>
    <w:p>
      <w:r>
        <w:t>Die Vorinstanz bejaht demgegenüber die Wahrung des Subsidiaritätsprinzips. Es könne davon ausgegangen werden, dass die ITA - wie diese in ihrem Ersuchen erkläre - alle ihr zur Verfügung stehenden üblichen Mittel ausgeschöpft habe. So gebe es keinen Grund, von der ITA den Nachweis zu verlangen, dass sie die betroffenen Personen vergeblich kontaktiert habe; dies gelte aus offensichtlichen Gründen bei Personen, deren Identität ihr nicht bekannt sei. Zudem verweist die Vorinstanz darauf, dass die in Frage stehende Besteuerungsperiode den Zeitraum 2014 bis 2020 erfasse. Der Betroffene habe die Möglichkeit gehabt, die für seine Besteuerung erforderlichen Angaben im Rahmen seiner Steuererklärungen korrekt und spontan zu deklarieren. Diese Möglichkeit sei im Zeitpunkt des Ersuchens bereits abgelaufen.</w:t>
      </w:r>
    </w:p>
    <w:p>
      <w:r>
        <w:rPr>
          <w:b/>
        </w:rPr>
        <w:t>E. 5.3</w:t>
      </w:r>
    </w:p>
    <w:p>
      <w:r>
        <w:t>Nach Art. 18 Abs. 1 MAC hat das Ersuchen Angaben darüber zu liefern,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w:t>
      </w:r>
    </w:p>
    <w:p>
      <w:r>
        <w:rPr>
          <w:b/>
        </w:rPr>
        <w:t>E. 5.4</w:t>
      </w:r>
    </w:p>
    <w:p>
      <w:r>
        <w:t>Die Argumentation des Beschwerdeführers übersieht, dass vorliegend ein Listenersuchen in Frage steht. Dieses identifiziert den Beschwerdeführer als betroffene Person nicht durch seinen Namen, sondern durch seine Verbindung mit einem bestimmten Konto. Über die vorliegende Amtshilfe soll denn auch in erster Linie Klarheit über die Identität der mit dem Konto verbundenen Personen erlangt werden (vgl. Sachverhalt, A). Es ist nicht ersichtlich, welche weiteren Untersuchungsmassnahmen die ITA bei dieser Ausgangslage sinnvollerweise hätte vorgängig vornehmen können. Darüber hinaus waren die Frist zur Einreichung der Steuererklärung für die Jahre 2014 bis 2020 und damit die Möglichkeit für die betroffene Person, die für ihre Besteuerung erforderlichen Angaben korrekt und spontan zu deklarieren, bei Einreichung des Amtshilfeersuchens bereits abgelaufen (vgl. Urteil des BVGer A-1515/2016 vom 9. Juni 2017 E. 3.3). Die Rüge, das Subsidiaritätsprinzip sei missachtet worden, ist deshalb unbegründet.</w:t>
      </w:r>
    </w:p>
    <w:p>
      <w:r>
        <w:rPr>
          <w:b/>
        </w:rPr>
        <w:t>E. 6</w:t>
      </w:r>
    </w:p>
    <w:p>
      <w:r>
        <w:t>Dass weitere Voraussetzungen der Amtshilfe nicht erfüllt wären, macht der Beschwerdeführer nicht stichhaltig geltend und ist auch nicht ersichtlich. Dies gilt auch für die weiteren formellen Anforderungen an den Inhalt eines Ersuchens nach Art. 18 Abs. 1 MAC. Die angefochtene Schlussverfügung ist deshalb zu bestätigen und die Beschwerde dagegen abzuweisen.</w:t>
      </w:r>
    </w:p>
    <w:p>
      <w:r>
        <w:rPr>
          <w:b/>
        </w:rPr>
        <w:t>E. 7</w:t>
      </w:r>
    </w:p>
    <w:p>
      <w:r>
        <w:t>Die Verfahrenskosten werden entsprechend dem Ausgang des Verfahrens dem Beschwerdeführer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2'500.- festzusetzen. Der Betrag ist dem in selber Höhe geleisteten Kostenvorschuss zu entnehmen. Eine Parteientschädigung ist nicht zuzusprechen (vgl. Art. 64 Abs. 1 VwVG e contrario und Art. 7 Abs. 1 VGKE e contrario sowie Art. 7 Abs. 3 VGKE).</w:t>
      </w:r>
    </w:p>
    <w:p>
      <w:r>
        <w:rPr>
          <w:b/>
        </w:rPr>
        <w:t>E. 8</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