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A-1856/2008 vom 15. Dezember 2008</w:t>
      </w:r>
    </w:p>
    <w:p>
      <w:r>
        <w:t>Bundesverwaltungsgericht, 2008-12-15, DE</w:t>
      </w:r>
    </w:p>
    <w:p>
      <w:r>
        <w:rPr>
          <w:b/>
        </w:rPr>
        <w:t xml:space="preserve">Quelle: </w:t>
      </w:r>
      <w:r>
        <w:t>https://mcp.opencaselaw.ch/entscheid/bvger_A-1856_2008</w:t>
      </w:r>
    </w:p>
    <w:p>
      <w:r>
        <w:t>FR: TAF A-1856/2008 du 15 décembre 2008</w:t>
      </w:r>
    </w:p>
    <w:p>
      <w:r>
        <w:t>IT: TAF A-1856/2008 del 15 dicembre 2008</w:t>
      </w:r>
    </w:p>
    <w:p>
      <w:pPr>
        <w:pStyle w:val="Heading2"/>
      </w:pPr>
      <w:r>
        <w:t>Regeste</w:t>
      </w:r>
    </w:p>
    <w:p>
      <w:r>
        <w:t>Auflösung des Arbeitsverhältnisses</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über das Verwaltungsverfahren vom 20. Dezember 1968 (VwVG, SR 172.021). Entscheide der ETH-Beschwerdekommission sind beim Bundesverwaltungsgericht anfechtbar (Art. 37 Abs. 1 des ETH-Gesetzes vom 4. Oktober 1991 [SR 414.110] in Verbindung mit Art. 31 und 33 Bst. e VGG).</w:t>
      </w:r>
    </w:p>
    <w:p>
      <w:r>
        <w:rPr>
          <w:b/>
        </w:rPr>
        <w:t>E. 1.2</w:t>
      </w:r>
    </w:p>
    <w:p>
      <w:r>
        <w:t>Zur Beschwerde ist gemäss Art. 48 Abs. 1 VwVG berechtigt, wer vor der Vorinstanz am Verfahren teilgenommen hat, durch die angefochtene Verfügung besonders berührt ist und ein aktuelles, schutzwürdiges Interesse an deren Aufhebung oder Änderung hat. Als formeller Verfügungsadressat hat der Beschwerdeführer ohne weiteres ein aktuelles schutzwürdiges Interesse an der Aufhebung der Verfügung der Vorinstanz.</w:t>
      </w:r>
    </w:p>
    <w:p>
      <w:r>
        <w:rPr>
          <w:b/>
        </w:rPr>
        <w:t>E. 1.3</w:t>
      </w:r>
    </w:p>
    <w:p>
      <w:r>
        <w:t>Auf die form- und fristgerecht eingereichte Beschwerde ist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3.1</w:t>
      </w:r>
    </w:p>
    <w:p>
      <w:r>
        <w:t>Der Beschwerdeführer macht zunächst geltend, die Beschwerdegegnerin habe nicht ausgeführt, welcher der gesetzlichen Kündigungsgründe von Art. 12 Abs. 6 des Bundespersonalgesetzes vom 24. März 2000 (BPG, SR 172.220.1) ihrer Ansicht nach erfüllt sein solle. Die Kündigung sei damit ungenügend begründet und aus diesem Grund nichtig.</w:t>
      </w:r>
    </w:p>
    <w:p>
      <w:r>
        <w:rPr>
          <w:b/>
        </w:rPr>
        <w:t>E. 3.2</w:t>
      </w:r>
    </w:p>
    <w:p>
      <w:r>
        <w:t>Die Beschwerdegegnerin wendet dagegen ein, die Begründung der Kündigung habe insgesamt eine sachgerechte Anfechtung erlaubt. Die Verfügung sei damit hinreichend begründet und es liege kein Nichtigkeitsgrund vor.</w:t>
      </w:r>
    </w:p>
    <w:p>
      <w:r>
        <w:rPr>
          <w:b/>
        </w:rPr>
        <w:t>E. 3.3</w:t>
      </w:r>
    </w:p>
    <w:p>
      <w:r>
        <w:t>Gemäss Art. 14 Abs. 1 BPG kann die Nichtigkeit einer Kündigungsverfügung geltend gemacht werden, wenn diese wichtige Formvorschriften verletzt (Art. 14 Abs. 1 Bst. a BPG) oder nach Art. 12 Abs. 6 und 7 BPG nicht begründet ist (Art. 14 Abs. 1 Bst. b BPG). Mit der Rüge der ungenügenden Begründung ist letztlich ein Formmangel im Sinne von Art. 14 Abs. 1 Bst. a BPG gemeint. Die inhaltliche Richtigkeit der Begründung wird dagegen von Art. 14 Abs. 1 Bst. b BPG erfasst und ist in einem weiteren Schritt zu prüfen (vgl. dazu hinten E. 4. - 4.4.3). Es ist damit in einem ersten Schritt zu prüfen, ob die Begründung der Verfügung den Formerfordernissen entspricht. Falls sich ergibt, dass die formellen Anforderungen an die Begründung der Verfügung nicht erfüllt sind, ist in einem zweiten Schritt zu prüfen, ob diese Verletzung der Begründungspflicht als Verletzung wichtiger Formvorschriften im Sinne von Art. 14 Abs. 1 Bst. a BPG zu betrachten ist.</w:t>
      </w:r>
    </w:p>
    <w:p>
      <w:r>
        <w:rPr>
          <w:b/>
        </w:rPr>
        <w:t>E. 3.4</w:t>
      </w:r>
    </w:p>
    <w:p>
      <w:r>
        <w:t>Art. 13 Abs. 1 BPG verlangt für die Kündigung die Schriftform, darüber hinaus gehende Formvorschriften sind keine vorgesehen. Die Begründung der Kündigungsverfügung hat demnach den allgemeinen, aus Art. 35 Abs. 1 VwVG bzw. aus dem Anspruch auf rechtliches Gehör (Art. 29 Abs. 2 der Bundesverfassung der Schweizerischen Eidgenossenschaft vom 18. April 1999 [BV, SR 101]) abgeleiteten Anforderungen an die Begründungsdichte zu genügen. Gemäss Lehre und Rechtsprechung kann sich die Begründung auf die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mit Hinweisen).</w:t>
      </w:r>
    </w:p>
    <w:p>
      <w:r>
        <w:rPr>
          <w:b/>
        </w:rPr>
        <w:t>E. 3.5</w:t>
      </w:r>
    </w:p>
    <w:p>
      <w:r>
        <w:t>Die Beschwerdegegnerin hat in der Begründung ihrer Verfügung nicht ausgeführt, welche der vorgeworfenen Verhaltensweisen oder Unterlassungen ihrer Ansicht nach unter welchen Teilgehalt von Art. 12 Abs. 6 BPG fallen. Sie hat aber die dem Beschwerdeführer vorgeworfenen Verhaltensweisen dargelegt und ausgeführt, dass damit die Kündigungsgründe von Art. 12 Abs. 6 Bst. a bis c BPG erfüllt seien. Eine Zuordnung zu den einzelnen Kündigungsgründen erschiene zwar wünschenswert. Da das dem Beschwerdeführer vorgeworfene Verhalten Elemente aller drei Kündigungsgründe aufweist, ist es aber nicht zu beanstanden, dass die Beschwerdegegnerin alle drei gesetzlichen Gründe aufführte. Es war dem Beschwerdeführer denn auch ohne weiteres möglich, die Verfügung sachgerecht anzufechten und zu zeigen, aus welchen Gründen er keinen der Kündigungsgründe als erfüllt betrachte. Eine Verletzung der Begründungspflicht ist darin nicht zu sehen. Die Beschwerde erweist sich in diesem Punkt als unbegründet.</w:t>
      </w:r>
    </w:p>
    <w:p>
      <w:r>
        <w:rPr>
          <w:b/>
        </w:rPr>
        <w:t>E. 4.1</w:t>
      </w:r>
    </w:p>
    <w:p>
      <w:r>
        <w:t>Die Vorinstanz hat in ihren Erwägungen festgestellt, die der Kündigung vorangegangene Mahnung weise formelle Mängel auf. Dies führe aber nicht zur Nichtigkeit der Kündigung, sondern bloss zur Anfechtbarkeit. Die Vorinstanz hat in der Folge den Antrag der Beschwerdegegnerin auf Feststellung der Gültigkeit der Kündigung gutgeheissen. Zum beschwerdeweise vorgebrachten Rechtsbegehren des Beschwerdeführers, die Kündigung sei aufzuheben bzw. zur Frage, welche Folgen der festgestellte formelle Mangel der Mahnung auf die Gültigkeit der Kündigung hat, äusserte sich die Vorinstanz dagegen nicht. Sie hat sich damit darauf beschränkt, das Vorliegen von Nichtigkeitsgründen zu prüfen. Der Beschwerdeführer macht nun geltend, es sei nicht nachvollziehbar, weshalb die Vorinstanz in ihren Erwägungen festgehalten habe, die Kündigung sei anfechtbar, diese aber trotz fristgerecht eingereichter Beschwerde nicht aufgehoben habe.</w:t>
      </w:r>
    </w:p>
    <w:p>
      <w:r>
        <w:rPr>
          <w:b/>
        </w:rPr>
        <w:t>E. 4.2.1</w:t>
      </w:r>
    </w:p>
    <w:p>
      <w:r>
        <w:t>Weist die Kündigung einen Mangel auf, der weder zu einer Nichtigkeit im Sinne von Art. 14 Abs. 1 BPG noch zu einer Nichtigkeit im Sinne der allgemeinen verwaltungsrechtlichen Grundsätze führt, ist dieser Mangel mittels Anfechtung durch Beschwerde innerhalb der Rechtsmittelfrist geltend zu machen (Pierre Tschannen/Ulrich Zimmerli, Allgemeines Verwaltungsrecht, 2. Aufl., Bern 2005, § 31 Rz. 15). Der Beschwerdeführer hat vor der Vorinstanz Beschwerde erhoben und damit die Kündigung angefochten.</w:t>
      </w:r>
    </w:p>
    <w:p>
      <w:r>
        <w:rPr>
          <w:b/>
        </w:rPr>
        <w:t>E. 4.2.2</w:t>
      </w:r>
    </w:p>
    <w:p>
      <w:r>
        <w:t>Die Vorinstanz hat zwar in ihren Erwägungen festgestellt, der festgestellte formelle Mangel der angefochtenen Kündigung führe zu deren Anfechtbarkeit. Sie hat sich aber darauf beschränkt, das Vorliegen von Nichtigkeitsgründen zu prüfen, die fristgerecht eingereichte Beschwerde des Beschwerdeführers dagegen nicht beurteilt. Die Vorinstanz hat damit ihre Kognition nicht ausgeschöpft.</w:t>
      </w:r>
    </w:p>
    <w:p>
      <w:r>
        <w:rPr>
          <w:b/>
        </w:rPr>
        <w:t>E. 4.2.3</w:t>
      </w:r>
    </w:p>
    <w:p>
      <w:r>
        <w:t>Jede Person hat gemäss Art. 29 Abs. 2 der Bundesverfassung der Schweizerischen Eidgenossenschaft vom 18. April 1999 (BV, SR 101) Anspruch auf rechtliches Gehör. Beschränkt die Behörde unzulässigerweise ihre Kognition, verletzt sie den Anspruch auf rechtliches Gehör oder begeht gar eine Rechtsverweigerung (BGE 131 II 271 E. 11.7.1; Giovanni Biaggini, Bundesverfassung der Schweizerischen Eidgenossenschaft, Zürich 2007 Art. 29 Rz. 23, Jörg Paul Müller/Markus Schefer, Grundrechte in der Schweiz, 4. Aufl., Bern 2008, S. 829). Indem die Vorinstanz nur die Anträge im Nichtigkeitsverfahren beurteilt hat, nicht aber auf die Beschwerde eingegangen ist, hat sie dem Beschwerdeführer das rechtliche Gehör verweigert.</w:t>
      </w:r>
    </w:p>
    <w:p>
      <w:r>
        <w:rPr>
          <w:b/>
        </w:rPr>
        <w:t>E. 4.3</w:t>
      </w:r>
    </w:p>
    <w:p>
      <w:r>
        <w:t>Die Verfahrensgarantien von Art. 29 Abs. 2 BV sind formeller Natur. Dies hat zur Folge, dass ihre Verletzung ungeachtet der Erfolgsaussichten der Beschwerde grundsätzlich zur Aufhebung des mit dem Verfahrensmangel behafteten Entscheids führt (Biaggini, a.a.O., Art. 29 Rz. 8, 126 V 130 E. 2b).</w:t>
      </w:r>
    </w:p>
    <w:p>
      <w:r>
        <w:rPr>
          <w:b/>
        </w:rPr>
        <w:t>E. 4.4.1</w:t>
      </w:r>
    </w:p>
    <w:p>
      <w:r>
        <w:t>Eine Verletzung des Anspruchs auf das rechtliche Gehör kann gemäss bundesgerichtlicher Rechtsprechung geheilt werden, wenn der Beschwerdeführer die Möglichkeit hatte, sich vor einer Beschwerdeinstanz zu äussern, welche zu freier Prüfung all jener Fragen befugt ist, die auch der unteren Instanz hätten unterbreitet werden können (BGE 117 Ib 481 E. 8a). Die Heilung ist aber ausgeschlossen, wenn es sich um eine besonders schwerwiegende Verletzung der Parteirechte handelt; zudem darf dem Beschwerdeführer kein Nachteil erwachsen und die Heilung soll die Ausnahme bleiben (BGE 129 I 129 E. 2.2.3, BGE 126 V 130 E. 2b, BGE 126 I 68 E. 2; Ulrich Häfelin/Georg Müller/Felix Uhlmann, Allgemeines Verwaltungsrecht, 5. Aufl., Zürich/Basel/Genf 2006, Rz. 986 f.). Wird die Gehörsverletzung als schwer eingestuft, ist die Beschwerde gutzuheissen und die Sache zu neuer Beurteilung im Sinne der Erwägungen an die Vorinstanz zurückzuweisen (Tschannen/Zimmerli, a.a.O., § 30 Rz. 45).</w:t>
      </w:r>
    </w:p>
    <w:p>
      <w:r>
        <w:rPr>
          <w:b/>
        </w:rPr>
        <w:t>E. 4.4.2</w:t>
      </w:r>
    </w:p>
    <w:p>
      <w:r>
        <w:t>Die Vorinstanz hat die in der Beschwerde gestellten Rechtsbegehren überhaupt nicht behandelt. Es ist damit von einer schwerwiegenden Verletzung des rechtlichen Gehörs auszugehen, die in ihrer Wirkung einer formellen Rechtsverweigerung gleichkommt. Eine Heilung der Gehörsverletzung scheidet aus diesem Grund aus. Eine Rückweisung der Angelegenheit an die Vorinstanz ist zudem auch inhaltlich gerechtfertigt. Falls die Vorinstanz zum Schluss kommen sollte, die Kündigung sei aufzuheben, müsste geregelt werden, welche Folgen - Weiterbebeschäftigung oder Entschädigung - die Aufhebung habe. Angesichts der erheblichen Tragweite dieses von der Vorinstanz gegebenenfalls noch zu regelnden Punktes darf der unterliegenden Partei nicht durch einen reformatorischen Entscheid des Bundesverwaltungsgerichts eine Rechtsmittelinstanz entzogen werden.</w:t>
      </w:r>
    </w:p>
    <w:p>
      <w:r>
        <w:rPr>
          <w:b/>
        </w:rPr>
        <w:t>E. 4.4.3</w:t>
      </w:r>
    </w:p>
    <w:p>
      <w:r>
        <w:t>Der angefochtene Entscheid ist daher aufzuheben und die Angelegenheit zur Neubeurteilung an die Vorinstanz zurückzuweisen.</w:t>
      </w:r>
    </w:p>
    <w:p>
      <w:r>
        <w:rPr>
          <w:b/>
        </w:rPr>
        <w:t>E. 5</w:t>
      </w:r>
    </w:p>
    <w:p>
      <w:r>
        <w:t>Aus prozessökonomischen Gründen sei aber darauf hingewiesen, dass das Bundesverwaltungsgericht den gegen Y._______ ausgesprochenen Verweis als gültige Mahnung im Sinne von Art. 12 Abs. 6 Bst. b BPG betrachtet hat (Entscheid des Bundesverwaltungsgerichts A-5893/2007 vom 11. April 2008, E. 3.7.4 f. mit Hinweisen). Dagegen wäre, wird die Gültigkeit der Mahnung grundsätzlich bejaht, im vorinstanzlichen Verfahren eingehend zu prüfen, welche Auswirkungen die Äusserung eines Direktionsmitglieds der Beschwerdegegnerin hat, welches am 11. November 2004 in einer Besprechung erklärte, es bleibe bei einem Verweis, wenn nichts mehr passiere. Es wird abzuklären sein, ob dadurch die Warnfunktion des Verweises nachträglich soweit eingeschränkt wurde, dass das als Kündigungsgrund genannte Verhalten nicht mehr erfasst war.</w:t>
      </w:r>
    </w:p>
    <w:p>
      <w:r>
        <w:rPr>
          <w:b/>
        </w:rPr>
        <w:t>E. 6</w:t>
      </w:r>
    </w:p>
    <w:p>
      <w:r>
        <w:t>Gemäss Art. 34 Abs. 2 BPG sind das erstinstanzliche Verfahren sowie das Beschwerdeverfahren in Personalrechtssachen nach den Artikeln 35 und 36 BPG kostenlos. Es sind demnach keine Verfahrenskosten aufzuerlegen.</w:t>
      </w:r>
    </w:p>
    <w:p>
      <w:r>
        <w:rPr>
          <w:b/>
        </w:rPr>
        <w:t>E. 7</w:t>
      </w:r>
    </w:p>
    <w:p>
      <w:r>
        <w:t>Gemäss Art. 64 Abs. 1 VwVG ist der ganz oder teilweise obsiegenden Partei von Amtes wegen oder auf Antrag hin eine Entschädigung für ihr erwachsene und verhältnismässig hohe Kosten zuzusprechen. Die Parteientschädigung ist - entsprechend der vom Beschwerdeführer eingereichten Kostennote - auf Fr. 9'249.70 (inkl. Auslagen und Mehrwertsteuer) zu beziffern und der unterliegenden Gegenpartei aufzuerlegen (Art. 64 Abs. 2 und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