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A-1827/2023 vom 25. August 2025</w:t>
      </w:r>
    </w:p>
    <w:p>
      <w:r>
        <w:t>Bundesverwaltungsgericht, 2025-08-25, DE</w:t>
      </w:r>
    </w:p>
    <w:p>
      <w:r>
        <w:rPr>
          <w:b/>
        </w:rPr>
        <w:t xml:space="preserve">Quelle: </w:t>
      </w:r>
      <w:r>
        <w:t>https://mcp.opencaselaw.ch/entscheid/bvger_A-1827_2023</w:t>
      </w:r>
    </w:p>
    <w:p>
      <w:r>
        <w:t>FR: TAF A-1827/2023 du 25 août 2025</w:t>
      </w:r>
    </w:p>
    <w:p>
      <w:r>
        <w:t>IT: TAF A-1827/2023 del 25 agosto 2025</w:t>
      </w:r>
    </w:p>
    <w:p>
      <w:pPr>
        <w:pStyle w:val="Heading2"/>
      </w:pPr>
      <w:r>
        <w:t>Regeste</w:t>
      </w:r>
    </w:p>
    <w:p>
      <w:r>
        <w:t>Amtshilfe</w:t>
      </w:r>
    </w:p>
    <w:p>
      <w:pPr>
        <w:pStyle w:val="Heading2"/>
      </w:pPr>
      <w:r>
        <w:t>Erwägungen</w:t>
      </w:r>
    </w:p>
    <w:p>
      <w:r>
        <w:rPr>
          <w:b/>
        </w:rPr>
        <w:t>E. 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2.1</w:t>
      </w:r>
    </w:p>
    <w:p>
      <w:r>
        <w:t>Das Bundesverwaltungsgericht ist gemäss Art. 31 VGG zur Behandlung der Beschwerde zuständig, zumal keine Ausnahme im Sinne von Art. 32 VGG vorliegt (vgl. Art. 19 Abs. 1 und 5 StAhiG [SR 651.1]).</w:t>
      </w:r>
    </w:p>
    <w:p>
      <w:r>
        <w:rPr>
          <w:b/>
        </w:rPr>
        <w:t>E. 2.2</w:t>
      </w:r>
    </w:p>
    <w:p>
      <w:r>
        <w:t>Der Beschwerdeführer ist als Adressat der jeweils angefochtenen Schlussverfügung und Person, deren Daten übermittelt werden sollen, betroffene Person im Sinne von Art. 3 Bst. a StAhiG und als solche zur Beschwerde legitimiert (vgl. Art. 19 Abs. 2 StAhiG i.V.m. Art. 48 VwVG).</w:t>
      </w:r>
    </w:p>
    <w:p>
      <w:r>
        <w:rPr>
          <w:b/>
        </w:rPr>
        <w:t>E. 2.3</w:t>
      </w:r>
    </w:p>
    <w:p>
      <w:r>
        <w:t>Da auch die weiteren Sachurteilsvoraussetzungen erfüllt sind, ist auf die Beschwerden insoweit einzutreten, als sie sich gegen die Leistung von Amtshilfe richten. Soweit der Beschwerdeführer beantragt, es seien sämtliche Unterlagen im Zusammenhang mit diesem Amtshilfeverfahren nach Abschluss des Verfahrens zu vernichten oder seiner Rechtsvertretung herauszugeben, kann darauf nicht eingetreten werden. Die Vorinstanz hat hierüber keine Anordnung getroffen, weshalb der Antrag ausserhalb des Streitgegenstands liegt (vgl. in diesem Sinne Urteil des BVGer A-6680/2010 vom 27. September 2011 E. 6.2; Zibung/Hofstetter, Praxiskommentar VwVG, 3. Aufl. 2023, Art. 49 N 51).</w:t>
      </w:r>
    </w:p>
    <w:p>
      <w:r>
        <w:rPr>
          <w:b/>
        </w:rPr>
        <w:t>E. 2.4</w:t>
      </w:r>
    </w:p>
    <w:p>
      <w:r>
        <w:t>Es erscheint aus prozessökonomischen Gründen sachgerecht, die oben (vgl. Sachverhalt, D) aufgeführten Beschwerdeverfahren, die allesamt den Beschwerdeführer betreffen, zu vereinigen. Diese hängen sachlich eng zusammen, zumal sie dasselbe Ersuchen sowie dieselben Sach- und Rechtsfragen zum Gegenstand haben (vgl. Art. 24 Abs. 2 Bst. b BZP i.V.m Art. 4 VwVG; vgl. Urteil des BVGer A-3484/2018 vom 7. September 2021 E. 1). Die Vereinigung der den Beschwerdeführer betreffenden Beschwerdeverfahren entspricht auch seinem diesbezüglichen Eventualantrag (vgl. dessen Stellungnahme vom 16. Juni 2023).</w:t>
      </w:r>
    </w:p>
    <w:p>
      <w:r>
        <w:rPr>
          <w:b/>
        </w:rPr>
        <w:t>E. 3</w:t>
      </w:r>
    </w:p>
    <w:p>
      <w:r>
        <w:t>Einzugehen ist zuerst auf die Rüge der Verletzung des rechtlichen Gehörs.</w:t>
      </w:r>
    </w:p>
    <w:p>
      <w:r>
        <w:rPr>
          <w:b/>
        </w:rPr>
        <w:t>E. 3.1</w:t>
      </w:r>
    </w:p>
    <w:p>
      <w:r>
        <w:t>Der Beschwerdeführer rügt, die Vorinstanz sei ihren Prüf- und Begründungspflichten nicht nachgekommen. Er argumentiert, die Schlussverfügung nehme keinen expliziten Bezug auf seine Stellungnahmen.</w:t>
      </w:r>
    </w:p>
    <w:p>
      <w:r>
        <w:rPr>
          <w:b/>
        </w:rPr>
        <w:t>E. 3.2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3.3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3.4</w:t>
      </w:r>
    </w:p>
    <w:p>
      <w:r>
        <w:t>Die Vorinstanz hat für jedes im Listenersuchen aufgeführte Bankkonto ein eigenes Verfahren eröffnet; insgesamt handelt es sich um elf Verfahren, die sie am 28. Februar 2023 und am 3. März 2023 mit diversen Schlussverfügungen abgeschlossen hat (vgl. Eingabe der Vorinstanz vom 7. Juni 2023).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dem anwaltlich vertretenen Beschwerdeführer zumutbar war, die für ihn relevanten Erwägungen zu identifizieren. Dass der Beschwerdeführer die Verfügung nicht sachgerecht anfechten konnte, ist denn auch nicht ersichtlich. Eine Verletzung der Prüf- und Begründungspflicht liegt somit nicht vor.</w:t>
      </w:r>
    </w:p>
    <w:p>
      <w:r>
        <w:rPr>
          <w:b/>
        </w:rPr>
        <w:t>E. 3.5</w:t>
      </w:r>
    </w:p>
    <w:p>
      <w:r>
        <w:t>Selbst wenn im Übrigen die Vorinstanz ihre Prüf- und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des Beschwerdeführers - wenn auch kurz und teilweise durch Verweis auf ihre Verfügung - geäussert, und dieser hatte die Möglichkeit, hierzu Stellung zu nehmen.</w:t>
      </w:r>
    </w:p>
    <w:p>
      <w:r>
        <w:rPr>
          <w:b/>
        </w:rPr>
        <w:t>E. 4</w:t>
      </w:r>
    </w:p>
    <w:p>
      <w:r>
        <w:t>In materieller Hinsicht erhebt der Beschwerdeführer Einwände gegen die zeitliche Anwendbarkeit des MAC (vgl. nachfolgend E. 4.2) und die voraussichtliche Erheblichkeit der nachgesuchten Bankinformationen (vgl. nachfolgend E. 5 ff.).</w:t>
      </w:r>
    </w:p>
    <w:p>
      <w:r>
        <w:rPr>
          <w:b/>
        </w:rPr>
        <w:t>E. 4.1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4.2</w:t>
      </w:r>
    </w:p>
    <w:p>
      <w:r>
        <w:t>Umstritten ist, ob das MAC in zeitlicher Hinsicht anwendbar ist.</w:t>
      </w:r>
    </w:p>
    <w:p>
      <w:r>
        <w:rPr>
          <w:b/>
        </w:rPr>
        <w:t>E. 4.2.1</w:t>
      </w:r>
    </w:p>
    <w:p>
      <w:r>
        <w:t>Der Beschwerdeführer bringt vor, das MAC könne, wenn überhaupt, höchstens für Besteuerungsperioden ab dem 1. Januar 2018 anwendbar sein. Denn die Voraussetzungen von Art. 28 Abs. 7 MAC (vgl. zum Wortlaut E. 4.2.4) für eine Amtshilfe über frühere Besteuerungsperioden seien nicht gegeben. So sei die Voraussetzung des vorsätzlichen Handelns bei ihm offensichtlich nicht erfüllt. Es sei nicht nachvollziehbar, wie die ITA ihm ein vorsätzliches Handeln vorwerfen könne, zumal sie im Zeitpunkt des Ersuchens seine Identität nicht gekannt habe. Ein vorsätzliches HandeIn sei eng mit der betroffenen Person verknüpft und in jedem Einzelfall gesondert zu überprüfen.</w:t>
      </w:r>
    </w:p>
    <w:p>
      <w:r>
        <w:rPr>
          <w:b/>
        </w:rPr>
        <w:t>E. 4.2.2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4.2.3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4.2.4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zu Art. 28 Abs. 6 und 7;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4.2.5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4.2.6</w:t>
      </w:r>
    </w:p>
    <w:p>
      <w:r>
        <w:t>Es bestehen vorliegend konkrete Anhaltspunkte, dass die mit den Zweitkonten verbundenen Personen - darunter der Beschwerdeführer - sich in Israel steuerrechtswidrig verhalten haben. Dies wird im Rahmen der Voraussetzung der voraussichtlichen Erheblichkeit näher darzulegen sein (vgl. nachfolgend E. 5.5). Der Beschwerdeführer zeigt nicht auf, dass die entsprechenden - nachvollziehbaren und plausibel erscheinenden - Angaben der ITA offenkundig unzutreffend sind. Entgegen der Ansicht des Beschwerdeführers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5.3 ff.; Urteil des BVGer vom A-1883/2021 vom 22. Februar 2022 E. 4.3.3.1, 4.4.2). Die ITA vermag daher einen begründeten Anfangsverdacht darzutun, dass die vom Ersuchen erfassten Personen, darunter der Beschwerdeführer, Einkünfte im ersuchenden Staat vorsätzlich nicht deklariert haben könnten (vgl. nachfolgend E. 5.5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w:t>
      </w:r>
    </w:p>
    <w:p>
      <w:r>
        <w:rPr>
          <w:b/>
        </w:rPr>
        <w:t>E. 4.2.7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(vgl. Sachverhalt, A) und ist damit zeitlich vom MAC erfasst.</w:t>
      </w:r>
    </w:p>
    <w:p>
      <w:r>
        <w:rPr>
          <w:b/>
        </w:rPr>
        <w:t>E. 4.2.8</w:t>
      </w:r>
    </w:p>
    <w:p>
      <w:r>
        <w:t>Soweit der Beschwerdeführer unter Hinweis darauf, dass die streitbetroffenen Konten vor dem 1. Januar 2018 saldiert worden seien, die zeitliche Anwendbarkeit des MAC bestreitet, ist sein Einwand unbegründet, zumal die Saldierung jeweils nach dem 1. Januar 2014 erfolgte. Die nachgesuchten Angaben fallen demzufolge in den relevanten und vom MAC erfassten Besteuerungszeitraum. Dies betrifft die folgenden Konten: - Das Konto Nr. (...) bei der S._______ (A-1827/2023), Saldierungsdatum: 5. Dezember 2018. - Das Konto Nr. (...) bei der S._______ (A-1828/2023), Saldierungsdatum: 30. November 2014. - Das Konto Nr. (...) bei der S._______ (A-1829/2023), Saldierungsdatum: 28. März 2014. - Das Konto Nr. (...) bei der S._______ (A-1831/2023), Saldierungsdatum: 8. April 2014. - Das Konto Nr. (...) bei der S._______ (A-1832/2023), Saldierungsdatum: 30. November 2014. - Das Konto Nr. (...) bei der S._______ (A-1834/2023), Saldierungsdatum: 30. November 2014. - Das Konto Nr. (...) bei der S._______ (A-1836/2023), Saldierungsdatum: 30. Dezember 2016. - Das Konto Nr. (...) bei der S._______ (A-1838/2023), Saldierungsdatum: 16. Januar 2015. - Das Konto Nr. (...) bei der S._______ (A-1839/2023), Saldierungsdatum: 30. Dezember 2016. - Das Konto Nr. (...) bei der S._______ (A-1841/2023), Saldierungsdatum: 18. August 2015.</w:t>
      </w:r>
    </w:p>
    <w:p>
      <w:r>
        <w:rPr>
          <w:b/>
        </w:rPr>
        <w:t>E. 5</w:t>
      </w:r>
    </w:p>
    <w:p>
      <w:r>
        <w:t>Strittig und zu beurteilen ist sodann die Voraussetzung der voraussichtlichen Erheblichkeit der nachgesuchten Bankinformationen nach Art. 4 Abs. 1 i.V.m. Art. 5 Abs. 1 MAC.</w:t>
      </w:r>
    </w:p>
    <w:p>
      <w:r>
        <w:rPr>
          <w:b/>
        </w:rPr>
        <w:t>E. 5.1</w:t>
      </w:r>
    </w:p>
    <w:p>
      <w:r>
        <w:t>Der Beschwerdeführer wendet gegen die voraussichtliche Erheblichkeit zunächst ein, er sei während des vom Ersuchen erfassten Zeitraums in Israel nicht steuerlich ansässig gewesen. Vielmehr habe er seinen Lebensmittelpunkt in (...) gehabt. Im Einzelnen führt er aus, er lebe seit 1998 mit seiner zweiten Ehefrau, die er (...) geheiratet habe, sowie den beiden gemeinsamen, minderjährigen Kindern ([...] geboren) ohne Unterbruch in (...). Beide Söhne seien in (...) geboren und besuchten aktuell dort die Schule. Er sei zudem seit 2010 bei der (...) in (...) angestellt und habe (...) eine Wohnung in (...) erworben, die er seither mit seiner Familie bewohne. Er habe dementsprechend seine Steuererklärungen in (...) eingereicht. Dass er in (...) steuerlich ansässig sei, belegten auch die (...) "Tax Residency Certificates". Er habe sich in der vom Ersuchen erfassten Zeitperiode nur wenige Tage in Israel aufgehalten. So habe er sich im Jahr 2014 nachweislich 13 Tage, im Jahr 2015 11 Tage und seit dem Jahr 2016 überhaupt nicht mehr in Israel aufgehalten. Er sei denn auch nachweislich nicht im israelischen Steuerregister registriert. Der Beschwerdeführer macht weiter geltend, die in den nachgesuchten Bankunterlagen als seine Domiziladresse vermerkte Adresse in Israel habe ihm ausschliesslich als Korrespondenzadresse für die Banken gedient. Sie werde irrtümlicherweise als Domiziladresse ausgewiesen. Zu dieser Adresse sei im israelischen Grundbuch ein Block (...) Parzelle (...) eingetragen. Gemäss dem Grundbuchblatt zu dieser Parzelle sei der Grundeigentümer der israelische Staat. Hinsichtlich der Parzelle bestehe ein Mietverhältnis (auf Hebräisch: "Chakira") mit D._______ (Israel ID Nr. [...]), einem Verwandten des Beschwerdeführers. Er selbst habe nicht an dieser Adresse gewohnt; auch habe die Liegenschaft nicht in seinem Eigentum gestanden und sei von ihm auch nicht gemietet worden. Der Beschwerdeführer wendet des Weiteren ein, es bestünden auch sonstwie keine Anhaltspunkte für ein steuerrechtswidriges Verhalten im ersuchenden Staat. Es sei nicht ersichtlich, inwiefern eine blosse Überweisung von Vermögenswerten von einem (angeblich) der Deklaration in Israel unterliegenden Konto auf ein Bankkonto, mit dem er in Verbindung gestanden haben soll, die Annahme begründen könnte, dass er Steuerverpflichtungen in Israel nicht nachgekommen sei. Der Beschwerdeführer bringt des Weiteren zu einzelnen Konten vor, es gebe keinen Konnex zwischen ihm und dem jeweiligen Konto. Im Einzelnen führt er Folgendes aus: - Zum Konto Nr. (...) bei der S._______ (A-1829/2023) bringt der Beschwerdeführer vor, das "Register of Members der Kontoinhaberin" zeige auf, dass er "zu keinem Zeitpunkt an der Kontoinhaberin beteiligt oder anderweitig wirtschaftlich Berechtigter des Kontos" gewesen sei. Die Unterlagen bezeichneten vielmehr eine Person namens Leonid Bershteyn als einzige an der Kontoinhaberin beteiligte natürliche Person. - Zum Konto Nr. (...) bei der S._______ (A-1832/2023) bringt der Beschwerdeführer vor, die Formulare A vom 9. Dezember 2015 und vom 22. Dezember 2021 zeigten auf, dass er nicht wirtschaftlich Berechtigter des Kontos gewesen sei. Die Unterlagen bezeichneten vielmehr R._______, einen (...) Staatsbürger, als "einzige[n] wirtschaftlich Berechtigte[n] an den Vermögenswerten". Dass kein Konnex zwischen ihm und "dem Konto bzw. der Kontoinhaberin X._______." bestehe oder bestanden habe, gehe auch aus dem "Share Register" hervor; einzige darin aufgeführte natürliche Person sei S._______. - Zum Konto Nr. (...) bei der S._______ (A-1834/2023) führt der Beschwerdeführer aus, das Formular A vom 9. Dezember 2015 zeige auf, dass er nicht wirtschaftlich Berechtigter des Kontos gewesen sei. Das Formular bezeichne vielmehr S._______ als einzigen wirtschaftlich Berechtigten des Kontos. - Zum Konto Nr. (...) bei der S._______ (A-1836/2023) macht der Beschwerdeführer geltend, das Formular A der S._______ vom 10. Februar 2010 weise zwei (...) als einzige wirtschaftlich Berechtigte aus. - Zum Konto Nr. (...) bei der S._______ (A-1838/2023) bringt er vor, Kontoinhaberin sei die Q._______ mit Sitz auf (...) gewesen. Als einzige natürliche Person an dieser beteiligt gewesen sei ein gewisser Denis Goldberg. Dies zeige der Auszug aus dem "Register of Members" der Kontoinhaberin vom 13. April 2006. - Zum Konto Nr. (...) bei der S._______ (A-1839/2023) bringt er schliesslich vor, das Formular A der P._______vom 10. Februar 2010 weise zwei (...) als einzige wirtschaftlich Berechtigte aus. Der Beschwerdeführer macht in Bezug auf einzelne streitbetroffene Konten bei der S._______ weiter geltend, die jeweilige Höhe des letzten Endjahreskontostands sei "mit Blick auf die daraus allfällig resultierenden Steuerfolgen" irrelevant, zumal Israel keine Vermögenssteuer kenne. In Bezug auf das Konto Nr. (...) bei der O._______ (A-1840/2023) führt der Beschwerdeführer in diesem Zusammenhang an, dieses habe weder Zinsen noch Dividenden generiert; es seien keine der israelischen Einkommenssteuer unterliegenden Erträge erzielt worden. Vielmehr habe sich in den Jahren 2014 bis 2020 "ausschliesslich Cash auf den Subaccounts" befunden, was die eingereichten Vermögensauszüge belegten. Das Ersuchen sei schliesslich äusserst pauschal gehalten und zeige lediglich die angebliche Rechtslage bei Nichteinhaltung bestimmter steuerrechtlicher Vorschriften in den Grundzügen auf. Es lege nicht ansatzweise dar, inwiefern diese Vorschriften für den Beschwerdeführer einschlägig sein sollen bzw. mit welchem Verhalten er welchen Tatbestand erfüllt haben soll. Es sei deshalb unwahrscheinlich, dass die einverlangten Unterlagen für die Beurteilung von Steuerangelegenheiten in Israel dienlich seien.</w:t>
      </w:r>
    </w:p>
    <w:p>
      <w:r>
        <w:rPr>
          <w:b/>
        </w:rPr>
        <w:t>E. 5.2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wirtschaftlich Berechtigten am jeweils visierten Konto angehe, seien nur die Informationen verbindlich, die bei der Bank registriert sind. Der Beschwerdeführer sei gemäss den von der Bank erhaltenen Informationen während des vom Ersuchen erfassten Zeitraums bei der Bank jeweils als wirtschaftlich Berechtigter am visierten Konto registriert gewesen. Ein Fehler der Bank in der Verwaltung der persönlichen Daten des Beschwerdeführers gehe aus den von ihm eingereichten Dokumenten nicht hervor. Die ESTV könne die Angaben der Bank deshalb nicht in Frage stellen.</w:t>
      </w:r>
    </w:p>
    <w:p>
      <w:r>
        <w:rPr>
          <w:b/>
        </w:rPr>
        <w:t>E. 5.3.1</w:t>
      </w:r>
    </w:p>
    <w:p>
      <w:r>
        <w:t>Gemäss Art. 5 Abs. 1 i.V.m. Art. 4 Abs. 1 MAC erteilt der ersuchte Staat auf Ersuchen des anderen Staates diesem alle Informationen, die für die Anwendung oder Durchsetzung seines innerstaatlichen Rechts betreffend die unter das MAC fallenden Steuern voraussichtlich erheblich sind.</w:t>
      </w:r>
    </w:p>
    <w:p>
      <w:r>
        <w:rPr>
          <w:b/>
        </w:rPr>
        <w:t>E. 5.3.2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5.3.3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Staates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5.3.4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5.4.1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Führt ein Bankdokument in Bezug auf eine mit einem Konto verbundene Person einen Domizilcode auf, stellt dies einen hinreichenden Anknüpfungspunkt für eine potenzielle Steuerpflicht im betreffenden Staat dar (vgl. BGE 146 II 150 E. 6.2.5 f.; Urteile des BVGer A-5680/2023 vom 18. November 2024 E. 3.3.2; A-1562/2018 vom 3. August 2020 E. 4.2, m.w.H.). Ob die betroffene Person im ersuchenden Staat tatsächlich steuerlich ansässig ist, ist eine materielle Frage, die von dessen Behörden zu beurteilen ist (vgl. BGE 145 II 112 E. 2.2.2; Urteil vom A-5680/2023 vom 18. November 2024 E. 3.3.2). Der Zweck eines Ersuchens um Amtshilfe kann denn auch gerade darin bestehen, abzuklären, ob die betroffene Person im ersuchenden Staat steuerpflichtig ist. Es ist dabei möglich, dass mehrere nationale Rechtsordnungen die Steuerpflicht einer Person beanspruchen. Dies steht einer Amtshilfeleistung der Schweiz jedoch nicht entgegen (vgl. Urteil des BVGer A-3072/2020 vom 14. Dezember 2021 E. 2.9). Ein zwischenstaatlicher Streit über die steuerliche Ansässigkeit einer Person ist in einem Verständigungsverfahren unter den direkt beteiligten Ländern - zu denen die Schweiz vorliegend soweit ersichtlich nicht gehört - zu entscheiden (vgl. BGE 142 II 218 E. 3.1, 3.6 f.; Urteil des BVGer A-1948/2019 vom 7. November 2019 E. 2.4.3 f.).</w:t>
      </w:r>
    </w:p>
    <w:p>
      <w:r>
        <w:rPr>
          <w:b/>
        </w:rPr>
        <w:t>E. 5.4.2</w:t>
      </w:r>
    </w:p>
    <w:p>
      <w:r>
        <w:t>Wie dargelegt (vgl. nachfolgend E. 5.1), wendet der Beschwerdeführer gegen die voraussichtliche Erheblichkeit ein, er sei während der relevanten Besteuerungsperiode im ersuchenden Staat nicht steuerpflichtig gewesen. Es bestehen indes genügende Anknüpfungspunkte für eine potentielle Steuerpflicht des Beschwerdeführers im ersuchenden Staat: Die vorliegend nachgesuchten Bankunterlagen führen als Domiziladresse ("Domicile Address") des Beschwerdeführers eine Adresse in Israel auf. Im Amtshilfeverfahren ist die Richtigkeit dieser Angaben zu vermuten (vgl. Urteil des BVGer A-1597/2022 vom 14. Juni 2024 E. 7.2.2). Der Beschwerdeführer kann weder stichhaltig dartun noch ist sonstwie ersichtlich, dass die in den zur Übermittlung vorgesehenen Unterlagen angegebene Domiziladresse auf einem offensichtlichen Fehler der Informationsinhaberin beruht. Zudem war der Beschwerdeführer, der neben der (...) auch über die israelische Staatsbürgerschaft verfügt, mit Konten verbunden, auf die Guthaben von in Israel steuerbaren und nicht deklarierten Konten überwiesen wurden (vgl. nachfolgend E. 5.5).</w:t>
      </w:r>
    </w:p>
    <w:p>
      <w:r>
        <w:rPr>
          <w:b/>
        </w:rPr>
        <w:t>E. 5.4.3</w:t>
      </w:r>
    </w:p>
    <w:p>
      <w:r>
        <w:t>Die Ausführungen des Beschwerdeführers und die von ihm eingereichten Unterlagen sind nicht geeignet, die vorhandenen Anhaltspunkte für eine steuerliche Ansässigkeit in Israel sogleich zu entkräften. Die ins Recht gelegten amtlichen Bescheinigungen über die steuerliche Ansässigkeit in Russland und der Umstand, dass der Beschwerdeführer seine Steuererklärung im relevanten Zeitraum jeweils in Russland eingereicht hat, schliessen nicht von vornherein aus, dass eine steuerliche Ansässigkeit in einem anderen Staat bestanden hat (vgl. BGE 142 II 218 E. 3.6 f.; Urteil des BVGer B-3072/2020 vom 14. Dezember 2021 E. 2.9). Hieran ändert im Lichte der aufgezeigten Praxis (vgl. vorstehend E. 5.4.1) auch nichts, dass der Beschwerdeführer nicht im Steuerregister des ersuchenden Staats eingetragen ist. An diesem Ergebnis vermag auch die Bescheinigung des israelischen Innenministeriums vom (...) über Ein- und Ausreisedaten nichts zu ändern. Diese weist für den Beschwerdeführer die folgenden Ein- und Ausreisedaten auf: Date departed Date entered (...) -------- (...) (...) (...) (...) (...) (...) (...) (...) Demnach hat sich der Beschwerdeführer in der vom Ersuchen erfassten Periode lediglich wenige Male und jeweils für relativ kurze Zeit im ersuchenden Staat aufgehalten. Die Bescheinigung ist jedoch mit der - nicht näher erläuterten - Bemerkung versehen, dass nicht alle Aufenthalte erfasst seien ("The above has additional historical travels that were not printed on this certificate"). Dies ist dahingehend zu verstehen, dass weitere Ein- und Ausreisen erfolgt sind. Es bestehen daher Zweifel an der Vollständigkeit der in der Bescheinigung aufgelisteten Daten. Der Beschwerdeführer wendet an anderer Stelle seiner Beschwerde ein, sich im relevanten Besteuerungszeitraum kein einziges Mal in Israel aufgehalten zu haben. Diese Aussage steht im Widerspruch zu seinem vorstehend erwähnten Vorbringen. Die eingereichten Kopien seines israelischen und russischen Passes enthalten zwar - soweit ersichtlich - keine relevanten Ein- und Ausreisestempel. Dies vermag jedoch die Anhaltspunkte für einen steuerlichen Bezug zum ersuchenden Staat nicht sogleich zu entkräften, umso mehr als der Pass nicht bei jeder Ein- und Ausreise von den israelischen Behörden abgestempelt werden muss (vgl. Deutsche Botschaft in Israel, &lt;tel-aviv.diplo.de&gt; &gt; Service &gt; Hinweise zur Einreise nach Israel, abgerufen am 25.8.2025).</w:t>
      </w:r>
    </w:p>
    <w:p>
      <w:r>
        <w:rPr>
          <w:b/>
        </w:rPr>
        <w:t>E. 5.4.4</w:t>
      </w:r>
    </w:p>
    <w:p>
      <w:r>
        <w:t>Aufgrund der erwähnten Anhaltspunkte besteht deshalb gesamthaft betrachtet eine vernünftige Möglichkeit, dass der Beschwerdeführer während der relevanten Besteuerungsperiode im ersuchenden Staat - unbeschränkt oder beschränkt - steuerlich ansässig war. Ob seine steuerliche Ansässigkeit im relevanten Zeitraum tatsächlich in Israel gelegen hat, ist - wie aufgezeigt - nicht im Rahmen dieses Amtshilfeverfahrens zu klären.</w:t>
      </w:r>
    </w:p>
    <w:p>
      <w:r>
        <w:rPr>
          <w:b/>
        </w:rPr>
        <w:t>E. 5.5.1</w:t>
      </w:r>
    </w:p>
    <w:p>
      <w:r>
        <w:t>Der Beschwerdeführer wendet gegen die voraussichtliche Erheblichkeit weiter ein, er sei an einzelnen streitbetroffenen Konten nie wirtschaftlich berechtigt gewesen.</w:t>
      </w:r>
    </w:p>
    <w:p>
      <w:r>
        <w:rPr>
          <w:b/>
        </w:rPr>
        <w:t>E. 5.5.2</w:t>
      </w:r>
    </w:p>
    <w:p>
      <w:r>
        <w:t>Die nachgesuchten Bankunterlagen weisen den Beschwerdeführer als wirtschaftlich Berechtigten am jeweils streitbetroffenen Konto im relevanten Besteuerungszeitraum aus. Was der Beschwerdeführer dagegen vorbringt, ist - wie nachfolgend in Bezug auf die einzelnen Konten näher darzulegen ist - nicht geeignet, um ernsthafte Zweifel an der Richtigkeit dieser Angaben zu begründen. Im Übrigen ist mit der Vorinstanz davon auszugehen, dass die Informationsinhaberin als in der Schweiz zugelassene und beaufsichtigte Bank die entsprechenden Informationen geprüft hat. Der Beschwerdeführer vermag nicht aufzuzeigen, dass insoweit ein offenkundiger Fehler besteht. Es ist deshalb die Richtigkeit dieser Informationen zu vermuten (vgl. Urteil des BVGer A-1597/2022 vom 14. Juni 2024 E. 7.2.2).</w:t>
      </w:r>
    </w:p>
    <w:p>
      <w:r>
        <w:rPr>
          <w:b/>
        </w:rPr>
        <w:t>E. 5.5.3</w:t>
      </w:r>
    </w:p>
    <w:p>
      <w:r>
        <w:t>Was das Konto Nr. (...) bei der S._______ (A-1828/2023) anbelangt, hat der Beschwerdeführer je ein Formular A der P._______ über die wirtschaftlich berechtigten Personen ("Declaration of identity of the beneficial owner") vom 14. April 2016 und vom 18. Februar 2022 eingereicht. Diese Formulare betreffen nicht näher spezifizierte Vermögenswerte der Edenbury Holdings Limited mit Sitz in Zypern bei der P._______. Gemäss den nachgesuchten Kontounterlagen war diese Gesellschaft Inhaberin des streitbetroffenen Kontos bei der S._______. Dieses wurde am 30. November 2014 saldiert und das Guthaben auf ein Konto der P._______ überwiesen. Das jeweilige Formular A weist zwar als an den Vermögenswerten bei der P._______ wirtschaftlich berechtigte Person einen (...) Staatsangehörigen namens R._______ aus. Ein entsprechendes Formular über das streitbetroffene Konto bei der S._______ hat der Beschwerdeführer jedoch nicht eingereicht.</w:t>
      </w:r>
    </w:p>
    <w:p>
      <w:r>
        <w:rPr>
          <w:b/>
        </w:rPr>
        <w:t>E. 5.5.4</w:t>
      </w:r>
    </w:p>
    <w:p>
      <w:r>
        <w:t>Was das Konto Nr. (...) bei der S._______ (A-1829/2023) angeht, hat der Beschwerdeführer einen Auszug aus dem "Register of Members" über die Caravan Group Holdings Ltd. eingereicht. Diese Gesellschaft war gemäss den nachgesuchten Kontounterlagen im relevanten Besteuerungszeitraum Inhaberin des Kontos. Der Auszug betrifft jedoch die Beteiligungsverhältnisse an der Kontoinhaberin und nicht die wirtschaftliche Berechtigung am Konto.</w:t>
      </w:r>
    </w:p>
    <w:p>
      <w:r>
        <w:rPr>
          <w:b/>
        </w:rPr>
        <w:t>E. 5.5.5</w:t>
      </w:r>
    </w:p>
    <w:p>
      <w:r>
        <w:t>Was das Konto Nr. (...) bei der S._______ (A-1832/2023) anbelangt, hat der Beschwerdeführer je ein Formular A der P._______ über die wirtschaftlich berechtigten Personen vom 9. Dezember 2015 und vom 22. Dezember 2021 eingereicht. Diese Formulare betreffen jeweils nicht näher spezifizierte Vermögenswerte der X._______ mit Sitz auf (...) bei der P._______. Gemäss den nachgesuchten Kontounterlagen war diese Gesellschaft Inhaberin des streitbetroffenen Kontos bei der S._______. Dieses wurde am 30. November 2014 saldiert und das Guthaben auf ein Konto bei der P._______ überwiesen. Das jeweilige Formular A weist als an den Vermögenswerten bei der P._______ wirtschaftlich berechtigte Person R._______ aus. Ein entsprechendes Formular über das streitbetroffene Konto bei der S._______ hat der Beschwerdeführer jedoch nicht eingereicht. Der Beschwerdeführer hat des Weiteren einen (undatierten) Auszug aus dem "Share Register" über die Kontoinhaberin und ein "Certificate of Incumbency" vom 21. März 2022 eingereicht. Danach war R._______ als einzige natürliche Person an der Kontoinhaberin als Aktionär beteiligt. Diese Unterlagen betreffen jedoch die Beteiligungsverhältnisse an der Kontoinhaberin und nicht die wirtschaftliche Berechtigung am Konto.</w:t>
      </w:r>
    </w:p>
    <w:p>
      <w:r>
        <w:rPr>
          <w:b/>
        </w:rPr>
        <w:t>E. 5.5.6</w:t>
      </w:r>
    </w:p>
    <w:p>
      <w:r>
        <w:t>Was das Konto Nr. (...) bei der S._______ (A-1834/2023) angeht, hat der Beschwerdeführer ein Formular A der P._______ über die wirtschaftlich berechtigten Personen vom 9. Dezember 2015 eingereicht. Dieses betrifft nicht näher spezifizierte Vermögenswerte der A &amp; R Holdings &amp; Investments Corp. mit Sitz auf den (...) bei der P._______. Gemäss den nachgesuchten Kontounterlagen war diese Gesellschaft Inhaberin des streitbetroffenen Kontos bei der S._______. Dieses wurde am 30. November 2014 saldiert und das Guthaben auf ein Konto bei der P._______ überwiesen. Das Formular A weist als an den Vermögenswerten bei der P._______ wirtschaftlich berechtigte Person wiederum R._______ aus. Ein entsprechendes Formular über das streitbetroffene Konto hat der Beschwerdeführer jedoch nicht eingereicht.</w:t>
      </w:r>
    </w:p>
    <w:p>
      <w:r>
        <w:rPr>
          <w:b/>
        </w:rPr>
        <w:t>E. 5.5.7</w:t>
      </w:r>
    </w:p>
    <w:p>
      <w:r>
        <w:t>Was die Konten Nr. (...) (A-1836/2023) und Nr. (...) (A-1839/2023) bei der S._______ betrifft, weist das jeweils eingereichte Formular A der S._______ vom 10. Februar 2010 zwei (...) als wirtschaftlich Berechtigte an nicht näher spezifizierten Vermögenswerten der Weismar Finance Inc. mit Sitz auf (...) aus. Diese war gemäss den zur Übermittlung vorgesehenen Unterlagen Inhaberin des in Frage stehenden Kontos bei der S._______. Das Formular wurde jedoch vier Jahre vor Beginn des relevanten Besteuerungszeitraums erstellt.</w:t>
      </w:r>
    </w:p>
    <w:p>
      <w:r>
        <w:rPr>
          <w:b/>
        </w:rPr>
        <w:t>E. 5.5.8</w:t>
      </w:r>
    </w:p>
    <w:p>
      <w:r>
        <w:t>Was das Konto Nr. (...) bei der S._______ (A-1838/2023) angeht, hat der Beschwerdeführer einen - undatierten - Auszug aus dem "Register of Members" über die I._______ eingereicht. Diese Gesellschaft war gemäss den nachgesuchten Kontounterlagen im relevanten Besteuerungszeitraum Inhaberin des Kontos. Der eingereichte Auszug weist per 27. November 2013 einen gewissen Denis Goldberg als einzigen Aktionär der Kontoinhaberin aus. Er betrifft jedoch ebenfalls die Beteiligungsverhältnisse an der Kontoinhaberin und nicht die wirtschaftliche Berechtigung am Konto.</w:t>
      </w:r>
    </w:p>
    <w:p>
      <w:r>
        <w:rPr>
          <w:b/>
        </w:rPr>
        <w:t>E. 5.5.9</w:t>
      </w:r>
    </w:p>
    <w:p>
      <w:r>
        <w:t>Keine spezifischen Einwände gegen die wirtschaftliche Berechtigung erhebt der Beschwerdeführer in Bezug auf die Konten Nr. (...) bei der S._______ (A-1827/2023), Nr. (...) bei der S._______ (A-1831/2023), Nr. (...) bei der P._______ (A-1840/2023) und Nr. 2088347 bei der S._______ (A-1841/2023).</w:t>
      </w:r>
    </w:p>
    <w:p>
      <w:r>
        <w:rPr>
          <w:b/>
        </w:rPr>
        <w:t>E. 5.6</w:t>
      </w:r>
    </w:p>
    <w:p>
      <w:r>
        <w:t>Es ist des Weiteren zu prüfen, ob die von der Rechtsprechung entwickelten Kriterien zur Beurteilung der voraussichtlichen Erheblichkeit bei Listenersuchen (vgl. vorstehend E. 5.3.4) vorliegend erfüllt sind.</w:t>
      </w:r>
    </w:p>
    <w:p>
      <w:r>
        <w:rPr>
          <w:b/>
        </w:rPr>
        <w:t>E. 5.6.1</w:t>
      </w:r>
    </w:p>
    <w:p>
      <w:r>
        <w:t>Das Ersuchen beschreibt die anvisierte Gruppe hinreichend detailliert. So können die zur umschriebenen Gruppe gehörenden Personen, darunter der Beschwerdeführer, anhand ihrer Verbindung mit einem bestimmten, im Listenersuchen aufgeführten Konto identifiziert werden (vgl. vorstehend E. 5.5). Konkret weisen die nachgesuchten Bankunterlagen - wie aufgezeigt - den Beschwerdeführer als wirtschaftlich berechtigte Person am jeweils streitbetroffenen Konto aus. Die Darstellung der Umstände, die zum Ersuchen geführt haben, erscheint ebenfalls genügend (vgl. Sachverhalt, A.a, sowie nachfolgend). Die erste Voraussetzung ist damit erfüllt.</w:t>
      </w:r>
    </w:p>
    <w:p>
      <w:r>
        <w:rPr>
          <w:b/>
        </w:rPr>
        <w:t>E. 5.6.2</w:t>
      </w:r>
    </w:p>
    <w:p>
      <w:r>
        <w:t>Entgegen der Auffassung des Beschwerdeführers ist auch die zweite Voraussetzung erfüllt. Die zur umschriebenen Gruppe gehörenden Personen waren im relevanten Zeitraum mit (Zweit-)Konten verbunden, auf die Vermögenswerte von in Israel steuerrechtswidrig nicht deklarierten (Erst-) 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4.2.5). Es bestehen zudem, wie dargelegt, hinreichende Anhaltspunkte für eine steuerliche Ansässigkeit des Beschwerdeführers im ersuchenden Staat (vgl. vorstehend E. 5.4). Die ITA legt sodann - unter Hinweis auf die anwendbaren Bestimmungen des israelischen Steuerrechts (vgl. vorstehend E. 4.2.4) - rechtsgenüglich dar, dass das weltweite Einkommen einer in Israel steuerlich ansässigen Person in Israel steuerbar ist.</w:t>
      </w:r>
    </w:p>
    <w:p>
      <w:r>
        <w:rPr>
          <w:b/>
        </w:rPr>
        <w:t>E. 5.6.3</w:t>
      </w:r>
    </w:p>
    <w:p>
      <w:r>
        <w:t>Die dritte Voraussetzung ist ebenfalls gegeben. Wie erwähnt (vgl. vorstehend E. 5.5), war der Beschwerdeführer während des relevanten Besteuerungszeitraums am jeweils streitbetroffenen (Zweit-)Konto wirtschaftlich berechtigt. Die nachgesuchten Informationen ermöglichen es der ITA zu beurteilen, ob er allfällige Steuerpflichten in Israel missachtet hat. Für diese Beurteilung erscheinen die nachgesuchten Bankunterlagen demnach als potentiell geeignet.</w:t>
      </w:r>
    </w:p>
    <w:p>
      <w:r>
        <w:rPr>
          <w:b/>
        </w:rPr>
        <w:t>E. 5.6.4</w:t>
      </w:r>
    </w:p>
    <w:p>
      <w:r>
        <w:t>Nicht stichhaltig ist das Vorbringen, die jeweilige Höhe des letzten Endjahreskontostandes sei "mit Blick auf die daraus allfällig resultierenden Steuerfolgen" irrelevant, zumal Israel keine Vermögenssteuer kenne. Soweit der Beschwerdeführer damit geltend macht, dass die streitbetroffenen Konten keine in Israel steuerbaren Einkünfte generiert hätten, ist darauf nicht näher einzugehen. Denn ob die Übermittlung der nachgesuchten Daten letzten Endes zur Nach- oder Strafsteuerpflicht des Beschwerdeführers führt, ist eine Frage des israelischen Steuerrechts. Materielle Fragen sind jedoch - unter Vorbehalt offenkundiger Fehler und Mängel - nicht im Amtshilfevollzugsverfahren zu beurteilen (vgl. Urteil des BVGer A-2360/2023 vom 29. Januar 2024 E. 3.4.2; vorstehend E. 4.2.5). Dass die nachgesuchten Angaben für die Beurteilung seiner Steuersituation in Israel offenkundig irrelevant sind, zeigt der Beschwerdeführer nicht auf. Er hat seinen Einwand deshalb in einem allfälligen Hauptverfahren im ersuchenden Staat zu erheben. Dies gilt auch für die - mit Vermögensauszügen ("Statement of assets") der P._______ unterlegten - Vorbringen des Beschwerdeführers, wonach das Konto Nr. (...) bei der P._______ (A-1840/2023) keine Erträge gehabt habe.</w:t>
      </w:r>
    </w:p>
    <w:p>
      <w:r>
        <w:rPr>
          <w:b/>
        </w:rPr>
        <w:t>E. 5.6.5</w:t>
      </w:r>
    </w:p>
    <w:p>
      <w:r>
        <w:t>Dass im ersuchenden Staat kein steuerrechtliches Verfahren gegen den Beschwerdeführer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5.7</w:t>
      </w:r>
    </w:p>
    <w:p>
      <w:r>
        <w:t>Es besteht demzufolge eine vernünftige Möglichkeit, dass die nachgesuchten Informationen für die Beurteilung der Steuerbelange des Beschwerdeführers in Israel erheblich sind. Gegenteiliges legt dieser nicht überzeugend dar. Eine unzulässige Beweisausforschung liegt nicht vor.</w:t>
      </w:r>
    </w:p>
    <w:p>
      <w:r>
        <w:rPr>
          <w:b/>
        </w:rPr>
        <w:t>E. 6</w:t>
      </w:r>
    </w:p>
    <w:p>
      <w:r>
        <w:t>Dass weitere Voraussetzungen der Amtshilfe nicht erfüllt wären, macht der Beschwerdeführer nicht stichhaltig geltend und ist auch nicht ersichtlich. Dies gilt auch für die weiteren formellen Anforderungen an den Inhalt eines Ersuchens nach Art. 18 Abs. 1 MAC. Die angefochtene Schlussverfügung ist deshalb zu bestätigen und die Beschwerden dagegen sind abzuweisen, soweit darauf einzutreten ist. Bei diesem Ergebnis ist auf das Eventualbegehren auf Schwärzung bestimmter Informationen nicht weiter einzugehen.</w:t>
      </w:r>
    </w:p>
    <w:p>
      <w:r>
        <w:rPr>
          <w:b/>
        </w:rPr>
        <w:t>E. 7</w:t>
      </w:r>
    </w:p>
    <w:p>
      <w:r>
        <w:t>Die Verfahrenskosten werden entsprechend dem Ausgang des Verfahrens dem Beschwerdeführer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10'000.- festzusetzen. Der Betrag ist den geleisteten Kostenvorschüssen zu entnehmen. Der Restbetrag ist zurückzuerstatten. Eine Parteientschädigung ist nicht zuzusprechen (vgl. Art. 64 Abs. 1 VwVG e contrario und Art. 7 Abs. 1 VGKE e contrario sowie Art. 7 Abs. 3 VGKE).</w:t>
      </w:r>
    </w:p>
    <w:p>
      <w:r>
        <w:rPr>
          <w:b/>
        </w:rPr>
        <w:t>E. 8</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