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A-1824/2023 vom 25. August 2025</w:t>
      </w:r>
    </w:p>
    <w:p>
      <w:r>
        <w:t>Bundesverwaltungsgericht, 2025-08-25, DE</w:t>
      </w:r>
    </w:p>
    <w:p>
      <w:r>
        <w:rPr>
          <w:b/>
        </w:rPr>
        <w:t xml:space="preserve">Quelle: </w:t>
      </w:r>
      <w:r>
        <w:t>https://mcp.opencaselaw.ch/entscheid/bvger_A-1824_2023</w:t>
      </w:r>
    </w:p>
    <w:p>
      <w:r>
        <w:t>FR: TAF A-1824/2023 du 25 août 2025</w:t>
      </w:r>
    </w:p>
    <w:p>
      <w:r>
        <w:t>IT: TAF A-1824/2023 del 25 agosto 2025</w:t>
      </w:r>
    </w:p>
    <w:p>
      <w:pPr>
        <w:pStyle w:val="Heading2"/>
      </w:pPr>
      <w:r>
        <w:t>Regeste</w:t>
      </w:r>
    </w:p>
    <w:p>
      <w:r>
        <w:t>Amtshilfe</w:t>
      </w:r>
    </w:p>
    <w:p>
      <w:pPr>
        <w:pStyle w:val="Heading2"/>
      </w:pPr>
      <w:r>
        <w:t>Erwägungen</w:t>
      </w:r>
    </w:p>
    <w:p>
      <w:r>
        <w:rPr>
          <w:b/>
        </w:rPr>
        <w:t>E. 1.1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1.2</w:t>
      </w:r>
    </w:p>
    <w:p>
      <w:r>
        <w:t>Das Bundesverwaltungsgericht ist gemäss Art. 31 VGG zur Behandlung der Beschwerde zuständig, zumal keine Ausnahme im Sinne von Art. 32 VGG vorliegt (vgl. Art. 19 Abs. 1 und 5 StAhiG).</w:t>
      </w:r>
    </w:p>
    <w:p>
      <w:r>
        <w:rPr>
          <w:b/>
        </w:rPr>
        <w:t>E. 1.3</w:t>
      </w:r>
    </w:p>
    <w:p>
      <w:r>
        <w:t>Die Beschwerdeführerin ist als Adressatin der Schlussverfügung und Person, deren Daten übermittelt werden sollen, betroffene Person im Sinne von Art. 3 Bst. a StAhiG und als solche zur Beschwerde legitimiert (vgl. Art. 19 Abs. 2 StAhiG i.V.m. Art. 48 VwVG).</w:t>
      </w:r>
    </w:p>
    <w:p>
      <w:r>
        <w:rPr>
          <w:b/>
        </w:rPr>
        <w:t>E. 1.4</w:t>
      </w:r>
    </w:p>
    <w:p>
      <w:r>
        <w:t>Da auch die weiteren Sachurteilsvoraussetzungen erfüllt sind, ist auf die Beschwerde insoweit einzutreten, als sie sich gegen die Leistung von Amtshilfe richtet. Soweit die Beschwerdeführerin beantragt, es seien sämtliche Unterlagen im Zusammenhang mit diesem Amtshilfeverfahren nach Abschluss des Verfahrens zu vernichten oder ihrer Rechtsvertretung herauszugeben, kann darauf nicht eingetreten werden. Die Vorinstanz hat hierüber keine Anordnung getroffen, weshalb der Antrag ausserhalb des Streitgegenstands liegt (vgl. in diesem Sinne Urteil des BVGer A-6680/2020 vom 27. September 2011 E. 6.2; Zibung/Hofstetter, Praxiskommentar VwVG, 3. Aufl. 2023, Art. 49 N 51).</w:t>
      </w:r>
    </w:p>
    <w:p>
      <w:r>
        <w:rPr>
          <w:b/>
        </w:rPr>
        <w:t>E. 2</w:t>
      </w:r>
    </w:p>
    <w:p>
      <w:r>
        <w:t>Einzugehen ist zuerst auf die Rüge der Verletzung des rechtlichen Gehörs.</w:t>
      </w:r>
    </w:p>
    <w:p>
      <w:r>
        <w:rPr>
          <w:b/>
        </w:rPr>
        <w:t>E. 2.1.1</w:t>
      </w:r>
    </w:p>
    <w:p>
      <w:r>
        <w:t>Die Beschwerdeführerin rügt zunächst, die Vorinstanz sei ihren Prüf- und Begründungspflichten nicht nachgekommen. Sie argumentiert, die Schlussverfügung nehme keinen expliziten Bezug auf ihre Stellungnahmen.</w:t>
      </w:r>
    </w:p>
    <w:p>
      <w:r>
        <w:rPr>
          <w:b/>
        </w:rPr>
        <w:t>E. 2.1.2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2.1.3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2.1.4</w:t>
      </w:r>
    </w:p>
    <w:p>
      <w:r>
        <w:t>Die Vorinstanz hat für jedes im Listenersuchen aufgeführte Bankkonto ein eigenes Verfahren eröffnet (vgl. Eingabe der Vorinstanz vom 2. Juni 2023); insgesamt handelt es sich um elf Verfahren, die sie am 28. Februar 2023 und am 3. März 2023 mit diversen Schlussverfügungen abgeschlossen hat.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der anwaltlich vertretenen Beschwerdeführerin zumutbar war, die für sie relevanten Erwägungen zu identifizieren. Dass die Beschwerdeführerin die Verfügung nicht sachgerecht anfechten konnte, ist denn auch nicht ersichtlich. Eine Verletzung der Prüf- und Begründungspflicht liegt somit nicht vor.</w:t>
      </w:r>
    </w:p>
    <w:p>
      <w:r>
        <w:rPr>
          <w:b/>
        </w:rPr>
        <w:t>E. 2.1.5</w:t>
      </w:r>
    </w:p>
    <w:p>
      <w:r>
        <w:t>Selbst wenn im Übrigen die Vorinstanz ihre Prüf- und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der Beschwerdeführerin - wenn auch kurz und teilweise durch Verweis auf ihre Verfügung - geäussert, und diese hatte die Möglichkeit, hierzu Stellung zu nehmen.</w:t>
      </w:r>
    </w:p>
    <w:p>
      <w:r>
        <w:rPr>
          <w:b/>
        </w:rPr>
        <w:t>E. 2.2.1</w:t>
      </w:r>
    </w:p>
    <w:p>
      <w:r>
        <w:t>Die Beschwerdeführerin rügt sodann eine Verletzung ihres Rechts auf Akteneinsicht im vorinstanzlichen Verfahren. Sie habe am 18. Oktober 2022 von der Vorinstanz zusammen mit dem Informationsschreiben einen vollständig geschwärzten Annex A zum Ersuchen erhalten und dies in ihrer Stellungnahme vom 17. November 2022 gegenüber der Vorinstanz gerügt. Die ihr mitgeteilten Informationen erlaubten es ihr - so die Beschwerdeführerin - jedoch nicht, das vom Ersuchen betroffene Konto zu identifizieren und zu überprüfen, ob es sich um dasselbe Konto handelt, über welches Informationen nun übermittelt werden sollen. Es sei ihr somit nicht möglich, die Grundlage für den Entscheid der ESTV, Informationen sie betreffend an die ITA zu übermitteln, zu überprüfen und sich wirksam zu verteidigen.</w:t>
      </w:r>
    </w:p>
    <w:p>
      <w:r>
        <w:rPr>
          <w:b/>
        </w:rPr>
        <w:t>E. 2.2.2</w:t>
      </w:r>
    </w:p>
    <w:p>
      <w:r>
        <w:t>Gemäss Art. 14 Abs. 1 StAhiG informiert die ESTV die betroffene Person über die wesentlichen Teile des Ersuchens. In der Botschaft wird dazu ausgeführt, die betroffene Person müsse aufgrund der Information erkennen können, ob sie tatsächlich das Subjekt der Untersuchung sei und was ihr vorgeworfen werde (vgl. Botschaft zur Änderung des Steueramtshilfegesetzes vom 16. Oktober 2013, BBl 2013 8369, 8376 zu Art. 14 Abs. 1). Nach Art. 15 Abs. 1 StAhiG können sich die beschwerdeberechtigten Personen am Verfahren beteiligen und Einsicht in die Akten nehmen. Soweit die ausländische Behörde Geheimhaltungsgründe hinsichtlich gewisser Aktenstücke glaubhaft macht, kann die ESTV einer beschwerdeberechtigten Person die Einsicht in die entsprechenden Aktenstücke nach Artikel 27 VwVG verweigern (Abs. 2).</w:t>
      </w:r>
    </w:p>
    <w:p>
      <w:r>
        <w:rPr>
          <w:b/>
        </w:rPr>
        <w:t>E. 2.2.3</w:t>
      </w:r>
    </w:p>
    <w:p>
      <w:r>
        <w:t>Die Vorinstanz führt in der Schlussverfügung aus, sie habe über die wesentlichen Elemente des Ersuchens und über die zur Übermittlung vorgesehenen Informationen informiert. In ihrer Vernehmlassung äussert sie sich nicht zur diesbezüglichen Rüge.</w:t>
      </w:r>
    </w:p>
    <w:p>
      <w:r>
        <w:rPr>
          <w:b/>
        </w:rPr>
        <w:t>E. 2.2.4</w:t>
      </w:r>
    </w:p>
    <w:p>
      <w:r>
        <w:t>Vorliegend gewährte die Vorinstanz der Beschwerdeführerin mit Schreiben und E-Mail vom 18. Oktober 2022 Akteneinsicht im angefochtenen Verfahren. In diesem Zusammenhang stellte sie der Beschwerdeführerin unter anderem das Ersuchen der ITA sowie dessen Annex A zu. Dieser umfasste eine einzeilige Tabelle mit den Rubriken "Closing Year", "Israeli TIN", "Date Of Birth", "Relation To Account", "Last Name", "First Name", "Closing Account Number" und "Closing Bank". Ausser dem Namen der Bank ([...]) sind sämtliche Angaben geschwärzt. Die Rüge einer Verletzung des rechtlichen Gehörs im vorinstanzlichen Verfahren ist unbegründet. Die Beschwerdeführerin zeigt nicht stichhaltig auf, dass sie nicht im Sinne von Art. 14 Abs. 1 StAhiG über die wesentlichen Teile des Ersuchens informiert worden ist. Vielmehr hat sie im Rahmen der Akteneinsicht eine in den wesentlichen Teilen ungeschwärzte Kopie des Ersuchens und der dazu gemachten Erläuterungen der ITA erhalten. Aus dem Ersuchen geht hervor, dass die ITA um Angaben zur Identität von Personen ersucht, die mit bestimmten Zweitkonten in Verbindung stehen, auf die Guthaben von in Israel steuerbaren und nicht deklarierten Erstkonten transferiert worden sind (vgl. Sachverhalt, A); demnach musste die Beschwerdeführerin im Klaren darüber gewesen sein, in welchem Umfang und weshalb die ITA um Amtshilfe nachgesucht hat. Ihr Vorbringen, dass sie das streitbetroffene Konto, dessen Inhaberin sie war (vgl. nachfolgend E. 4.4.2, 4.5.1), aufgrund der geltend gemachten Schwärzungen nicht hat identifizieren können, ist tatsachenwidrig. In ihrer Stellungnahme vom 17. November 2022 bezog sich die Beschwerdeführerin ausdrücklich auf das streitbetroffene Konto. Als Beilage ihrer Stellungnahme reichte sie zudem einen ungeschwärzten Auszug über das streitbetroffene Konto ein. Dies zeigt, dass sie sich im vorinstanzlichen Verfahren sehr wohl wirksam gegen die Übermittlung der sie betreffenden Bankkontodaten verteidigen konnte.</w:t>
      </w:r>
    </w:p>
    <w:p>
      <w:r>
        <w:rPr>
          <w:b/>
        </w:rPr>
        <w:t>E. 3</w:t>
      </w:r>
    </w:p>
    <w:p>
      <w:r>
        <w:t>In materieller Hinsicht erhebt die Beschwerdeführerin Einwände gegen die zeitliche Anwendbarkeit des MAC (vgl. nachfolgend E. 3.2) und die voraussichtliche Erheblichkeit der nachgesuchten Bankinformationen (vgl. nachfolgend E. 4 ff.).</w:t>
      </w:r>
    </w:p>
    <w:p>
      <w:r>
        <w:rPr>
          <w:b/>
        </w:rPr>
        <w:t>E. 3.1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3.2</w:t>
      </w:r>
    </w:p>
    <w:p>
      <w:r>
        <w:t>Umstritten ist, ob das MAC in zeitlicher Hinsicht anwendbar ist.</w:t>
      </w:r>
    </w:p>
    <w:p>
      <w:r>
        <w:rPr>
          <w:b/>
        </w:rPr>
        <w:t>E. 3.2.1</w:t>
      </w:r>
    </w:p>
    <w:p>
      <w:r>
        <w:t>Die Beschwerdeführerin bringt vor, die Voraussetzungen von Art. 28 Abs. 7 MAC (vgl. zum Wortlaut E. 3.2.4) für eine Amtshilfe über frühere Besteuerungsperioden seien nicht gegeben. So sei die Voraussetzung eines vorsätzlichen Verhaltens offenkundig nicht erfüllt. Als juristische Person könne sie nicht mit Vorsatz handeln. Es dürfe der ITA darum keine Amtshilfe geleistet werden betreffend Informationen aus dem Zeitraum vor dem 1. Januar 2018. Das streitbetroffene Bankkonto sei am 30. November 2014 geschlossen worden. Die zur Übermittlung vorgesehenen Unterlagen beträfen Sachverhalte aus dem Jahr 2014, weshalb die in Frage stehenden Bankunterlagen nicht übermittelt werden dürften.</w:t>
      </w:r>
    </w:p>
    <w:p>
      <w:r>
        <w:rPr>
          <w:b/>
        </w:rPr>
        <w:t>E. 3.2.2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3.2.3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3.2.4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3.2.5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3.2.6</w:t>
      </w:r>
    </w:p>
    <w:p>
      <w:r>
        <w:t>Es bestehen vorliegend konkrete Anhaltspunkte, dass die mit den Zweitkonten verbundenen Personen - darunter die Beschwerdeführerin - sich in Israel steuerrechtswidrig verhalten haben. Dies wird im Rahmen der Voraussetzung der voraussichtlichen Erheblichkeit näher darzulegen sein (vgl. nachfolgend E. 4.5). Die Beschwerdeführerin zeigt nicht auf, dass die entsprechenden - nachvollziehbaren und plausibel erscheinenden - Angaben der ITA offenkundig unzutreffend sind. Entgegen der Ansicht der Beschwerdeführerin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4.3 ff.; Urteil des BVGer vom A-1883/2021 vom 22. Februar 2022 E. 4.3.3.1, 4.4.2). Die ITA vermag daher einen begründeten Anfangsverdacht darzutun, dass die vom Ersuchen erfassten Personen, darunter die Beschwerdeführerin, Einkünfte im ersuchenden Staat vorsätzlich nicht deklariert haben könnten (vgl. nachfolgend E. 4.5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 Der Einwand der Beschwerdeführerin, sie könne als juristische Person nicht vorsätzlich handeln, beschlägt ebenfalls das materielle Recht des ersuchenden Staats und ist vor dessen Behörden geltend zu machen (vgl. vorstehend E. 3.2.5).</w:t>
      </w:r>
    </w:p>
    <w:p>
      <w:r>
        <w:rPr>
          <w:b/>
        </w:rPr>
        <w:t>E. 3.2.7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(vgl. Sachverhalt, A) und ist damit zeitlich vom MAC erfasst.</w:t>
      </w:r>
    </w:p>
    <w:p>
      <w:r>
        <w:rPr>
          <w:b/>
        </w:rPr>
        <w:t>E. 4</w:t>
      </w:r>
    </w:p>
    <w:p>
      <w:r>
        <w:t>Strittig und zu beurteilen ist sodann die Voraussetzung der voraussichtlichen Erheblichkeit der nachgesuchten Bankinformationen nach Art. 4 Abs. 1 i.V.m. Art. 5 Abs. 1 MAC.</w:t>
      </w:r>
    </w:p>
    <w:p>
      <w:r>
        <w:rPr>
          <w:b/>
        </w:rPr>
        <w:t>E. 4.1</w:t>
      </w:r>
    </w:p>
    <w:p>
      <w:r>
        <w:t>Die Beschwerdeführerin wendet gegen die voraussichtliche Erheblichkeit zunächst ein, sie sei auf (...) ansässig und somit in Israel nicht steuerpflichtig. Es gebe keine steuerlich relevante Verbindung zwischen ihr oder den streitbetroffenen Konten einerseits und Israel andererseits. So seien die am jeweiligen Konto im relevanten Besteuerungszeitraum wirtschaftlich berechtigten Personen in Israel weder ansässig noch steuerpflichtig gewesen. Dasselbe gelte für die Aktionäre der Beschwerdeführerin. In den nachgesuchten Bankunterlagen sei zwar bei M._______ als am Konto wirtschaftlich berechtigte Person eine israelische Adresse aufgeführt. Diese habe jedoch ausschliesslich als Korrespondenzadresse für die Banken gedient und sei irrtümlicherweise als Domiziladresse ausgewiesen. Zu dieser Adresse sei im israelischen Grundbuch ein Block (...) Parzelle (...) eingetragen. Gemäss dem Grundbuchblatt zu dieser Parzelle sei der Grundeigentümer der israelische Staat. Hinsichtlich der Parzelle bestehe ein Mietverhältnis (auf Hebräisch: "Chakira") mit A._______ (Israel ID Nr. [...]), einem Verwandten von B._______, C._______ und D._______ selbst hätten nie an dieser Adresse gewohnt; auch habe die Liegenschaft nicht in ihrem Eigentum gestanden. M._______ sei während der relevanten Zeitperiode zu keinem Zeitpunkt in Israel ansässig oder steuerpflichtig gewesen. Vielmehr lebe er seit 1998 mit seiner zweiten Ehefrau, die er (...) geheiratet habe sowie den beiden gemeinsamen, minderjährigen Kindern ([...] geboren) ohne Unterbruch in (...). Beide Söhne seien in (...) geboren und besuchten aktuell dort die Schule. M._______ sei zudem seit (...) bei (...) in (...) angestellt und habe (...) eine Wohnung in (...) erworben, die er seither mit seiner Familie bewohne. Er habe dementsprechend seine Steuererklärungen in (...) eingereicht. Dass er in (...) steuerlich ansässig sei, belegten auch die (...) "Tax Residency Certificates". Er habe sich in der vom Ersuchen erfassten Zeitperiode nur wenige Tage in Israel aufgehalten. Konkret sei er zwischen dem 1. Januar 2013 und dem 16. März 2023 bloss wenige Tage in Israel gewesen. So habe er sich im Jahr 2014 nachweislich 13 Tage, im Jahr 2015 11 Tage und seit dem Jahr 2016 überhaupt nicht mehr in Israel aufgehalten. Er sei denn auch nachweislich nicht im israelischen Steuerregister registriert. Sodann sei zwar in den nachgesuchten Bankunterlagen auch bei E._______ als am Konto wirtschaftlich berechtigte Person eine israelische Adresse aufgeführt. Auch E._______ sei jedoch während des vom Ersuchen erfassten Zeitraums in Israel nicht steuerlich ansässig gewesen. Vielmehr habe sie ihren Lebensmittelpunkt seit dem Jahr 2003 bis heute ausschliesslich in (...). Sie habe sich, wie die Kopien ihres (...) und israelischen Passes zeigten, in der betreffenden Periode niemals in Israel aufgehalten. Sie sei denn auch nachweislich nicht im israelischen Steuerregister registriert. Dasselbe gelte auch für D._______. Die Beschwerdeführerin macht weiter geltend, die in den nachgesuchten Bankunterlagen als Domiziladresse von E._______ vermerkte Adresse in Israel habe dieser ausschliesslich als Korrespondenzadresse für die Banken gedient. Sie werde irrtümlicherweise als Domiziladresse ausgewiesen. Der "wirtschaftliche Eigentümer" des Kontos sei bis zu dessen Saldierung eine Drittperson namens H._______ gewesen. Diese sei in (...) ansässig und nicht Objekt des Ersuchens. Es sei schliesslich nicht ersichtlich, inwiefern eine blosse Überweisung von Vermögenswerten von einem (angeblich) der Deklaration in Israel unterliegenden Konto auf ein Bankkonto der Beschwerdeführerin die Annahme begründen könnte, dass diese Steuerverpflichtungen in Israel nicht erfüllt habe. Es sei deshalb unwahrscheinlich, dass die einverlangten Unterlagen für die Beurteilung von Steuerangelegenheiten der Beschwerdeführerin in Israel erheblich seien.</w:t>
      </w:r>
    </w:p>
    <w:p>
      <w:r>
        <w:rPr>
          <w:b/>
        </w:rPr>
        <w:t>E. 4.2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wirtschaftlich Berechtigten am visierten Konto angehe, seien - so die Vorinstanz in ihrer Vernehmlassung - nur die Informationen verbindlich, die bei der Bank registriert sind. Die Beschwerdeführerin sei gemäss den von der Bank erhaltenen Informationen während des vom Ersuchen erfassten Zeitraums bei der Bank als wirtschaftlich Berechtigte am visierten Konto (recte: als Kontoinhaberin) registriert gewesen. Ein Fehler der Bank in der Verwaltung der persönlichen Daten der Beschwerdeführerin gehe aus den von der Beschwerdeführerin eingereichten Dokumenten nicht hervor. Die ESTV könne die Angaben der Bank deshalb nicht in Frage stellen.</w:t>
      </w:r>
    </w:p>
    <w:p>
      <w:r>
        <w:rPr>
          <w:b/>
        </w:rPr>
        <w:t>E. 4.3.1</w:t>
      </w:r>
    </w:p>
    <w:p>
      <w:r>
        <w:t>Gemäss Art. 5 Abs. 1 i.V.m. Art. 4 Abs. 1 MAC erteilt der ersuchte Staat auf Ersuchen des anderen Staates diesem alle Informationen, die für die Anwendung oder Durchsetzung seines innerstaatlichen Rechts betreffend die unter das MAC fallenden Steuern voraussichtlich erheblich sind.</w:t>
      </w:r>
    </w:p>
    <w:p>
      <w:r>
        <w:rPr>
          <w:b/>
        </w:rPr>
        <w:t>E. 4.3.2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4.3.3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Staates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4.3.4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4.4.1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Führt ein Bankdokument in Bezug auf eine mit einem Konto verbundene Person einen Domizilcode auf, stellt dies einen hinreichenden Anknüpfungspunkt für eine potenzielle Steuerpflicht im betreffenden Staat dar (vgl. BGE 146 II 150 E. 6.2.5 f.; Urteile des BVGer A-5680/2023 vom 18. November 2024 E. 3.3.2; A-1562/2018 vom 3. August 2020 E. 4.2, m.w.H.). Ob die betroffene Person im ersuchenden Staat tatsächlich steuerlich ansässig ist, ist eine materielle Frage, die von dessen Behörden zu beurteilen ist (vgl. BGE 145 II 112 E. 2.2.2; Urteil vom A-5680/2023 vom 18. November 2024 E. 3.3.2). Der Zweck eines Ersuchens um Amtshilfe kann denn auch gerade darin bestehen, abzuklären, ob die betroffene Person im ersuchenden Staat steuerpflichtig ist. Es ist dabei möglich, dass mehrere nationale Rechtsordnungen die Steuerpflicht einer Person beanspruchen. Dies steht dies einer Amtshilfeleistung der Schweiz jedoch nicht entgegen (vgl. Urteil des BVGer A-3072/2020 vom 14. Dezember 2021 E. 2.9). Ein zwischenstaatlicher Streit über die steuerliche Ansässigkeit einer Person ist in einem Verständigungsverfahren unter den direkt beteiligten Ländern - zu denen die Schweiz vorliegend soweit ersichtlich nicht gehört - zu entscheiden (vgl. BGE 142 II 218 E. 3.1, 3.6 f.; Urteil des BVGer A-1948/2019 vom 7. November 2019 E. 2.4.3 f.).</w:t>
      </w:r>
    </w:p>
    <w:p>
      <w:r>
        <w:rPr>
          <w:b/>
        </w:rPr>
        <w:t>E. 4.4.2</w:t>
      </w:r>
    </w:p>
    <w:p>
      <w:r>
        <w:t>Wie dargelegt (vgl. vorstehend E. 4.1), wendet die Beschwerdeführerin gegen die voraussichtliche Erheblichkeit ein, sie sei auf (...) ansässig und im ersuchenden Staat nicht steuerpflichtig. Es bestehen indes genügende Anknüpfungspunkte für eine potentielle Steuerpflicht der Beschwerdeführerin im ersuchenden Staat: Die vorliegend nachgesuchten Bankunterlagen führen als Domiziladresse ("Domicile Address") von A._______, E._______ und F._______ als in der Zeit vom 1. Januar 2014 bis 30. November 2014 am Konto wirtschaftlich berechtigte Personen eine Adresse in Israel auf. Zudem war die Beschwerdeführerin - als Inhaberin - mit einem Konto verbunden, auf das Guthaben eines in Israel steuerbaren und nicht deklarierten Kontos überwiesen wurden. Es erscheint deshalb als möglich, dass die Beschwerdeführerin während der relevanten Besteuerungsperiode im ersuchenden Staat - unbeschränkt oder beschränkt - steuerlich ansässig war. Die Ausführungen der Beschwerdeführerin und die von ihr eingereichten Unterlagen sind nicht geeignet, die vorhandenen Anhaltspunkte für eine steuerliche Ansässigkeit von M._______ in Israel sogleich zu entkräften. Die ins Recht gelegten amtlichen Bescheinigungen über die steuerliche Ansässigkeit in (...) und der Umstand, dass M._______ seine Steuererklärung im relevanten Zeitraum jeweils in (...) eingereicht hat, schliessen nicht von vornherein aus, dass eine steuerliche Ansässigkeit in einem anderen Staat bestanden hat (vgl. BGE 142 II 218 E. 3.6 f.; Urteil des BVGer B-3072/2020 vom 14. Dezember 2021 E. 2.9). Hieran ändert im Lichte der aufgezeigten Praxis (vgl. vorstehend E. 4.4.1) auch nichts, dass M._______ nicht im Steuerregister des ersuchenden Staats eingetragen ist. An diesem Ergebnis vermag auch die Bescheinigung des israelischen Innenministeriums vom (...) über Ein- und Ausreisedaten von M._______ nichts zu ändern. Diese weist für M._______ die folgenden Ein- und Ausreisedaten auf: Date departed Date entered (...) -------- (...) (...) (...) (...) (...) (...) (...) (...) Demnach hat sich M._______ in der vom Ersuchen erfassten Periode lediglich wenige Male und jeweils für relativ kurze Zeit im ersuchenden Staat aufgehalten. Die Bescheinigung ist jedoch mit der - nicht näher erläuterten - Bemerkung versehen, dass nicht alle Aufenthalte erfasst seien ("The above has additional historical travels that were not printed on this certificate"). Dies ist dahingehend zu verstehen, dass weitere Ein- und Ausreisen erfolgt sind. Es bestehen daher Zweifel an der Vollständigkeit der in der Bescheinigung aufgelisteten Daten. Die Beschwerdeführerin reicht zwar Kopien des jeweiligen israelischen und (...) Passes von M._______ ein, die keine relevanten Ein- und Ausreisestempel enthalten. Dies vermag jedoch die Anhaltspunkte für einen steuerlichen Bezug zum ersuchenden Staat nicht sogleich zu widerlegen, umso mehr als der Pass nicht bei jeder Ein- und Ausreise von den israelischen Behörden abgestempelt werden muss (vgl. Deutsche Botschaft in Israel, &lt;tel-aviv.diplo.de&gt; &gt; Service &gt; Hinweise zur Einreise nach Israel, abgerufen am 30.6.2025). Die Beschwerdeführerin kann weder stichhaltig dartun noch ist sonstwie ersichtlich, dass die in den zur Übermittlung bestimmten Unterlagen für M._______ angegebenen Domiziladresse in Israel auf einem offensichtlichen Fehler der Informationsinhaberin beruht. Es besteht im vorliegenden Amtshilfeverfahren kein Anlass, an der Richtigkeit dieser Angabe der Informationsinhaberin zu zweifeln (vgl. Urteil des BVGer A-1597/2022 vom 14. Juni 2024 E. 7.2.2). Dasselbe gilt in Bezug auf E._______. Es bestehen genügende Anknüpfungspunkte für eine potentielle Steuerpflicht von E._______ im ersuchenden Staat: Die vorliegend nachgesuchten Bankunterlagen führen als Domiziladresse ("Domicile Address") von E._______ eine Adresse in Israel auf. Zudem war E._______, die neben der (...) auch über die israelische Staatsbürgerschaft verfügt, mit einem Konto verbunden, auf das Guthaben eines in Israel steuerbaren und nicht deklarierten Kontos überwiesen wurden. Es erscheint deshalb als möglich, dass E._______ während der relevanten Besteuerungsperiode im ersuchenden Staat - unbeschränkt oder beschränkt - steuerlich ansässig war. Die Ausführungen der Beschwerdeführerin und die von ihr eingereichten Unterlagen sind nicht geeignet, die vorhandenen Anhaltspunkte für eine steuerliche Ansässigkeit von E._______ in Israel sogleich zu entkräften. Hieran ändert auch nichts, dass E._______ nicht im Steuerregister des ersuchenden Staats eingetragen ist. Das Vorbringen der Beschwerdeführerin, E._______ habe sich in der vom Ersuchen erfassten Steuerperiode nie in Israel aufgehalten, vermag die vorliegenden Anhaltspunkte ebenfalls nicht zu entkräften. Dies gilt aus den dargelegten Gründen auch unter Berücksichtigung des Umstands, dass die eingereichten Kopien des jeweiligen israelischen und (...) Passes von E._______ keine relevanten Ein- und Ausreisestempel enthalten. Nichts an diesem Ergebnis zu ändern vermögen die Vorbringen der Beschwerdeführerin zu weiteren am Konto wirtschaftlich berechtigten Personen und zu ihren Aktionären sowie zu deren Sitz oder Wohnsitz.</w:t>
      </w:r>
    </w:p>
    <w:p>
      <w:r>
        <w:rPr>
          <w:b/>
        </w:rPr>
        <w:t>E. 4.4.3</w:t>
      </w:r>
    </w:p>
    <w:p>
      <w:r>
        <w:t>Aufgrund der erwähnten Anhaltspunkte erscheint es deshalb gesamthaft betrachtet als möglich, dass die Beschwerdeführerin während der relevanten Besteuerungsperiode im ersuchenden Staat - unbeschränkt oder beschränkt - steuerlich ansässig war. Ob ihre steuerliche Ansässigkeit im relevanten Zeitraum tatsächlich in Israel gelegen hat, ist - wie aufgezeigt - nicht im Rahmen dieses Amtshilfeverfahrens, sondern in einem allfälligen Steuer- oder Strafsteuerverfahren im ersuchenden Staat zu klären.</w:t>
      </w:r>
    </w:p>
    <w:p>
      <w:r>
        <w:rPr>
          <w:b/>
        </w:rPr>
        <w:t>E. 4.5</w:t>
      </w:r>
    </w:p>
    <w:p>
      <w:r>
        <w:t>Es ist des Weiteren zu prüfen, ob die von der Rechtsprechung entwickelten Kriterien zur Beurteilung der voraussichtlichen Erheblichkeit bei Listenersuchen (vgl. vorstehend E. 4.3.4) vorliegend erfüllt sind.</w:t>
      </w:r>
    </w:p>
    <w:p>
      <w:r>
        <w:rPr>
          <w:b/>
        </w:rPr>
        <w:t>E. 4.5.1</w:t>
      </w:r>
    </w:p>
    <w:p>
      <w:r>
        <w:t>Das Ersuchen beschreibt die anvisierte Gruppe hinreichend detailliert. So können die zur umschriebenen Gruppe gehörenden Personen, darunter die Beschwerdeführerin, anhand ihrer Verbindung mit einem bestimmten, im Listenersuchen aufgeführten Konto identifiziert werden. Die Beschwerdeführerin war gemäss den nachgesuchten Kontounterlagen Inhaberin des vorliegend streitbetroffenen Kontos bei der (...). Dieses wurde per 30. November 2014 saldiert, worauf das Guthaben im Dezember 2014 laut den Kontounterlagen an die (...) transferiert wurde ("This account was part of the transfer of assets which took place between our Bank and [...] Bank in December 2014"). Die Darstellung der Umstände, die zum Ersuchen geführt haben, erscheint ebenfalls genügend (vgl. Sachverhalt, A.a, sowie nachfolgend). Die erste Voraussetzung ist damit erfüllt.</w:t>
      </w:r>
    </w:p>
    <w:p>
      <w:r>
        <w:rPr>
          <w:b/>
        </w:rPr>
        <w:t>E. 4.5.2</w:t>
      </w:r>
    </w:p>
    <w:p>
      <w:r>
        <w:t>Entgegen der Auffassung der Beschwerdeführerin ist auch die zweite Voraussetzung erfüllt. Die zur umschriebenen Gruppe gehörenden Personen waren im relevanten Zeitraum mit (Zweit-)Konten verbunden, auf die Vermögenswerte von in Israel steuerrechtswidrig nicht deklarierten (Erst-) 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3.2.5). Es bestehen zudem, wie dargelegt, hinreichende Anhaltspunkte für einen steuerlichen Bezug der Beschwerdeführerin zum ersuchenden Staat (vgl. vorstehend E. 4.4.2). Die ITA legt sodann - unter Hinweis auf die anwendbaren Bestimmungen des israelischen Steuerrechts (vgl. vorstehend E. 3.2.4) - rechtsgenüglich dar, dass das weltweite Einkommen einer in Israel steuerlich ansässigen Person in Israel steuerbar ist.</w:t>
      </w:r>
    </w:p>
    <w:p>
      <w:r>
        <w:rPr>
          <w:b/>
        </w:rPr>
        <w:t>E. 4.5.3</w:t>
      </w:r>
    </w:p>
    <w:p>
      <w:r>
        <w:t>Die dritte Voraussetzung ist ebenfalls gegeben. Wie erwähnt (vgl. vorstehend E. 4.5.1), war die Beschwerdeführerin während des relevanten Besteuerungszeitraums Inhaberin des betreffenden (Zweit-)Kontos. Die nachgesuchten Informationen ermöglichen es der ITA zu beurteilen, ob die Beschwerdeführerin allfällige Steuerpflichten in Israel missachtet hat. Für diese Beurteilung erscheinen die nachgesuchten Bankunterlagen demnach als potentiell geeignet.</w:t>
      </w:r>
    </w:p>
    <w:p>
      <w:r>
        <w:rPr>
          <w:b/>
        </w:rPr>
        <w:t>E. 4.5.4</w:t>
      </w:r>
    </w:p>
    <w:p>
      <w:r>
        <w:t>Dass im ersuchenden Staat kein steuerrechtliches Verfahren gegen die Beschwerdeführerin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4.6</w:t>
      </w:r>
    </w:p>
    <w:p>
      <w:r>
        <w:t>Es besteht demzufolge eine vernünftige Möglichkeit, dass die nachgesuchten Informationen für die Beurteilung der Steuerbelange der Beschwerdeführerin in Israel voraussichtlich erheblich sind. Gegenteiliges legt diese nicht überzeugend dar. Eine unzulässige Beweisausforschung liegt nicht vor.</w:t>
      </w:r>
    </w:p>
    <w:p>
      <w:r>
        <w:rPr>
          <w:b/>
        </w:rPr>
        <w:t>E. 5</w:t>
      </w:r>
    </w:p>
    <w:p>
      <w:r>
        <w:t>Dass weitere Voraussetzungen der Amtshilfe nicht erfüllt wären, macht die Beschwerdeführerin nicht stichhaltig geltend und ist auch nicht ersichtlich. Dies gilt auch für die weiteren formellen Anforderungen an den Inhalt eines Ersuchens nach Art. 18 Abs. 1 MAC. Die angefochtene Schlussverfügung ist deshalb zu bestätigen und die Beschwerde dagegen abzuweisen, soweit darauf einzutreten ist. Bei diesem Ergebnis ist auf das Eventualbegehren auf Schwärzung bestimmter Informationen nicht weiter einzugehen.</w:t>
      </w:r>
    </w:p>
    <w:p>
      <w:r>
        <w:rPr>
          <w:b/>
        </w:rPr>
        <w:t>E. 6</w:t>
      </w:r>
    </w:p>
    <w:p>
      <w:r>
        <w:t>Die Verfahrenskosten werden entsprechend dem Ausgang des Verfahrens der Beschwerdeführerin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2'500.- festzusetzen. Der Betrag ist dem in selber Höhe geleisteten Kostenvorschuss zu entnehmen. Eine Parteientschädigung ist nicht zuzusprechen (vgl. Art. 64 Abs. 1 VwVG e contrario und Art. 7 Abs. 1 VGKE e contrario sowie Art. 7 Abs. 3 VGKE).</w:t>
      </w:r>
    </w:p>
    <w:p>
      <w:r>
        <w:rPr>
          <w:b/>
        </w:rPr>
        <w:t>E. 7</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