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A-181/2016 vom 1. November 2016</w:t>
      </w:r>
    </w:p>
    <w:p>
      <w:r>
        <w:t>Bundesverwaltungsgericht, 2016-11-01, DE</w:t>
      </w:r>
    </w:p>
    <w:p>
      <w:r>
        <w:rPr>
          <w:b/>
        </w:rPr>
        <w:t xml:space="preserve">Quelle: </w:t>
      </w:r>
      <w:r>
        <w:t>https://mcp.opencaselaw.ch/entscheid/bvger_A-181_2016</w:t>
      </w:r>
    </w:p>
    <w:p>
      <w:r>
        <w:t>FR: TAF A-181/2016 du 1 novembre 2016</w:t>
      </w:r>
    </w:p>
    <w:p>
      <w:r>
        <w:t>IT: TAF A-181/2016 del 1 novembre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2bis des Bundesgesetzes vom 25. Juni 1982 über die berufliche Alters-, Hinterlassenen- und Invalidenvorsorge [BVG; SR 831.40]). Die Zuständigkeit des Bundesverwaltungsgerichts zur Behandlung der vorliegenden Beschwerde ist somit gegeben (vgl. A-7102/ 2014 vom 11. Mai 2016 E. 1.1). Damit ist auf die im Übrigen form- und fristgerecht eingereichte Beschwerde - unter Vorbehalt des nachfolgend in E. 1.3 i.V.m. E. 3.4.1 Gesagten - einzutreten.</w:t>
      </w:r>
    </w:p>
    <w:p>
      <w:r>
        <w:rPr>
          <w:b/>
        </w:rPr>
        <w:t>E. 1.2</w:t>
      </w:r>
    </w:p>
    <w:p>
      <w:r>
        <w:t>Das Verfahren richtet sich gemäss Art. 37 VGG nach den Bestimmungen des VwVG, soweit das VGG nichts anderes bestimmt.</w:t>
      </w:r>
    </w:p>
    <w:p>
      <w:r>
        <w:rPr>
          <w:b/>
        </w:rPr>
        <w:t>E. 1.3</w:t>
      </w:r>
    </w:p>
    <w:p>
      <w:r>
        <w:t>Anfechtungsobjekt im Verfahren vor Bundesverwaltungsgericht bildet einzig der vorinstanzliche Entscheid (vorliegend die Verfügung vom 4. Januar 2016). Das Anfechtungsobjekt bildet den Rahmen, welcher den möglichen Umfang des Streitgegenstandes begrenzt (BGE 133 II 35 E. 2; André Moser/Michael Beusch/Lorenz Kneubühler, Prozessieren vor dem Bundesverwaltungsgericht, 2. Aufl., 2013, Rz. 2.7). Streitgegenstand ist sodann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strittige Punkte reduzieren, nicht aber ausweiten (BVGE 2010/19 E. 2.1; zum Ganzen: Moser/Beusch/Kneubühler, a.a.O., Rz. 2.8 mit weiteren Hinweisen).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statt vieler: Urteil des Bundesverwaltungsgerichts vgl. A-7102/2014 vom 11. Mai 2016 E. 1.4; Moser/Beusch/Kneubühler, a.a.O., Rz. 2.149).</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BGE 134 V 315 E. 1.2; zum Ganzen: Urteile des Bundesverwaltungsgerichts A-7102/2014 vom 11. Mai 2016 E. 1.6 und C-7023/2013 vom 2. Juli 2015 E. 2.1).</w:t>
      </w:r>
    </w:p>
    <w:p>
      <w:r>
        <w:rPr>
          <w:b/>
        </w:rPr>
        <w:t>E. 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Bundesverwaltungsgerichts A-3116/2015 vom 27. April 2016 E. 2.1.2). Dieser Mindestlohn wurde bisher verschiedene Male der Entwicklung in der AHV angepasst (vgl. Art. 9 BVG und statt vieler Urteil des Bundesverwaltungsgerichts C-6221/ 2014 vom 17. August 2015 E. 3.1). Die Beträge in Art. 5 BVV2 wurden bisher wie folgt geändert: 2006Fr. 19'350.-- (AS 2004 4643), 2007 und 2008Fr. 19'890.-- (AS 2006 4159), 2009Fr. 20'520.-- (AS 2008 4725), 2011 und 2012Fr. 20'880.-- (AS 2010 4587), 2013 und 2014Fr. 21'060.-- (AS 2012 6347), seit 2015Fr. 21'150.-- (AS 2014 3343). Ist eine arbeitnehmende Person weniger als ein Jahr lang bei einem Arbeitgeber beschäftigt, so gilt als Jahreslohn der Lohn, den sie bei ganzjähriger Beschäftigung erzielen würde (Art. 2 Abs. 2 BVG).</w:t>
      </w:r>
    </w:p>
    <w:p>
      <w:r>
        <w:rPr>
          <w:b/>
        </w:rPr>
        <w:t>E. 2.1.2</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Auffangeinrichtung rückwirkend zum Anschluss (Art. 11 Abs. 6 BVG).</w:t>
      </w:r>
    </w:p>
    <w:p>
      <w:r>
        <w:rPr>
          <w:b/>
        </w:rPr>
        <w:t>E. 2.2.2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ihrer Aufgaben nach Art. 60 Abs. 2 Bst. a und b BVG Verfügungen erlassen.</w:t>
      </w:r>
    </w:p>
    <w:p>
      <w:r>
        <w:rPr>
          <w:b/>
        </w:rPr>
        <w:t>E. 2.3</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Dieses Reglement bildet (auch im vorliegenden Fall) integrierenden Bestandteil der Anschlussverfügung (zum Ganzen: Urteile des Bundesverwaltungsgerichts A-5081/2014 vom 16. Februar 2016 E. 2.2.2 und C-4897/2011 vom 2. Juli 2014 E. 4.1) und erweist sich - soweit hier interessierend - als rechtskonform (Urteil des Bundesverwaltungsgerichts A-5081/2014 vom 16. Februar 2016 E. 3.3.1 m.w.H.).</w:t>
      </w:r>
    </w:p>
    <w:p>
      <w:r>
        <w:rPr>
          <w:b/>
        </w:rPr>
        <w:t>E. 3.1</w:t>
      </w:r>
    </w:p>
    <w:p>
      <w:r>
        <w:t>Im vorliegenden Fall hat die Vorinstanz die Beschwerdeführerin mittels angefochtener Verfügung vom 4. Januar 2016 rückwirkend per 1. Januar 2006 angeschlossen. Zu prüfen ist, ob dieser Zwangsanschluss zu Recht erfolgt ist.</w:t>
      </w:r>
    </w:p>
    <w:p>
      <w:r>
        <w:rPr>
          <w:b/>
        </w:rPr>
        <w:t>E. 3.2.1</w:t>
      </w:r>
    </w:p>
    <w:p>
      <w:r>
        <w:t>Die Vorinstanz verweist darauf, dass die Beschwerdeführerin den mehrmals geforderten Nachweis über einen Anschluss an eine Vorsorgeeinrichtung nicht erbracht habe, obwohl aus den Lohnbescheinigungen der zuständigen Ausgleichskassen Bern (Jahre 2006 - 2009) und Schwyz (Jahre 2013 und 2014) betreffend die Beschwerdeführerin hervorgehe, dass diese in den genannten Jahren BVG-pflichtiges Personal beschäftigt hat. Damit sei ein Zwangsanschluss angezeigt gewesen (vgl. E. 2.2.2).</w:t>
      </w:r>
    </w:p>
    <w:p>
      <w:r>
        <w:rPr>
          <w:b/>
        </w:rPr>
        <w:t>E. 3.2.2</w:t>
      </w:r>
    </w:p>
    <w:p>
      <w:r>
        <w:t>Die Beschwerdeführerin ihrerseits bestreitet nicht, BVG-pflichtiges Personal zu beschäftigen bzw. beschäftigt zu haben. Auch räumt sie ein, vor dem Zwangsanschluss keiner Vorsorgeeinrichtung angeschlossen gewesen zu sein.</w:t>
      </w:r>
    </w:p>
    <w:p>
      <w:r>
        <w:rPr>
          <w:b/>
        </w:rPr>
        <w:t>E. 3.2.3</w:t>
      </w:r>
    </w:p>
    <w:p>
      <w:r>
        <w:t>Aus den Akten geht hervor, dass eine bei der Beschwerdeführerin angestellte Person 2006 einen Jahreslohn in Höhe von Fr. 42'800.-- und 2007 einen solchen von Fr. 49'200.-- erzielt hat. Auch 2008 war eine Person angestellt, welche einen Jahreslohn von Fr. 42'900.-- erhalten hat. 2009 beschäftigte die Beschwerdeführerin sodann eine Person, welche von Januar bis Juni Fr. 20'400.-- verdient hat. Damit ist - mit Blick auf die in Erwägung 2.1.1 genannten Beträge - erstellt, dass die in den betreffenden Jahren geltenden Jahreslohn-Grenzwerte jeweils erreicht worden sind.</w:t>
      </w:r>
    </w:p>
    <w:p>
      <w:r>
        <w:rPr>
          <w:b/>
        </w:rPr>
        <w:t>E. 3.2.4</w:t>
      </w:r>
    </w:p>
    <w:p>
      <w:r>
        <w:t>Aus dem Dargelegten ergibt sich, dass die Voraussetzungen für eine Anschlusspflicht (E. 2.1) ab dem Jahr 2006 gegeben waren, ohne dass die Beschwerdeführerin dieser Pflicht nachgekommen wäre. Damit war bzw. ist die Vorinstanz verpflichtet, die Beschwerdeführerin - wie geschehen - per 1. Januar 2006 zwangsweise anzuschliessen (E. 2.2.2). Der verfügte Zwangsanschluss erweist sich somit als rechtmässig.</w:t>
      </w:r>
    </w:p>
    <w:p>
      <w:r>
        <w:rPr>
          <w:b/>
        </w:rPr>
        <w:t>E. 3.3.1</w:t>
      </w:r>
    </w:p>
    <w:p>
      <w:r>
        <w:t>Nichts daran zu ändern vermag der Einwand, der aktuelle Gesellschafter habe die Beschwerdeführerin erst Anfang November 2013 übernommen, weshalb er nicht für Versäumnisse der früheren Gesellschafter verantwortlich gemacht werden könne.</w:t>
      </w:r>
    </w:p>
    <w:p>
      <w:r>
        <w:rPr>
          <w:b/>
        </w:rPr>
        <w:t>E. 3.3.2</w:t>
      </w:r>
    </w:p>
    <w:p>
      <w:r>
        <w:t>Die Beschwerdeführerin hat die Rechtsform einer GmbH nach Art. 772 ff. OR. Als juristische Person führt die GmbH eine von ihren Gesellschaftern losgelöste rechtliche Existenz. Sie ist selbständiges Rechtssubjekt, welches mit dem Handelsregistereintrag eigene Rechtspersönlichkeit erlangt. Damit ist sie rechts und handlungsfähig (Art. 53 f. ZGB). Die GmbH handelt durch ihre Organe, welche die Gesellschaft durch ihr rechtsgeschäftliches Handeln unmittelbar verpflichten (Art. 55 Abs. 2 ZGB; vgl. Urteil des Bundesverwaltungsgerichts C-4037/2013 vom 17. Dezember 2014 E. 5.3).</w:t>
      </w:r>
    </w:p>
    <w:p>
      <w:r>
        <w:rPr>
          <w:b/>
        </w:rPr>
        <w:t>E. 3.3.3</w:t>
      </w:r>
    </w:p>
    <w:p>
      <w:r>
        <w:t>Im Zeitpunkt der Eintragung ins Handelsregister des Kantons Bern führte die Beschwerdeführerin die Firma "A.a_______ GmbH" (vgl. Sachverhalt Bst. A.a). Mit Statutenänderung vom 18. Oktober 2013 wurde sie in A.b_______ GmbH umfirmiert. Ungeachtet der verschiedenen Firmennamen der GmbH handelt es sich jedoch um ein und dieselbe Gesellschaft, was sich bereits aus dem Handelsregister ergibt (Urteil des Bundesverwaltungsgerichts C-4037/2013 vom 17. Dezember 2014 E. 5.4).</w:t>
      </w:r>
    </w:p>
    <w:p>
      <w:r>
        <w:rPr>
          <w:b/>
        </w:rPr>
        <w:t>E. 3.3.4</w:t>
      </w:r>
    </w:p>
    <w:p>
      <w:r>
        <w:t>Aufgrund der Aktenlage ist vorliegend davon auszugehen, dass der Eintritt des aktuellen Gesellschafters in die beschwerdeführende GmbH im Oktober 2013 im Rahmen eines Gesellschafterwechsels durch Erwerb und Abtretung der Stammanteile der vorgängigen Gesellschafter nach Art. 785 OR erfolgte. Am Bestand der beschwerdeführenden GmbH hat sich damit jedoch nichts verändert; insbesondere ist mit dem Gesellschafterwechsel keine neue Gesellschaft entstanden. Da die Arbeitgeberstellung und die damit verbundene Pflicht des Anschlusses an eine Vorsorgeeinrichtung nach Art. 11 Abs. 1 BVG allein der Gesellschaft als Arbeitgeberin (E. 2.1.2) und nicht den Gesellschaftern zukommt, zeitigt ein Gesellschafterwechsel auch keine Auswirkungen auf einen unterbliebenen Anschluss an eine Vorsorgeeinrichtung. Vielmehr hat die Gesellschaft die Folgen eines unterbliebenen Anschlusses selbst dann zu tragen, wenn sich dieser unter dem Regime vorangegangener Gesellschafter bzw. Organe zugetragen hat. Ob sich daraus ein Verantwortlichkeitsanspruch der Beschwerdeführerin ergeben könnte (vgl. Art. 827 OR), wäre im Rahmen eines Zivilverfahrens zu klären und ist nicht Gegenstand des vorliegenden Beschwerdeverfahrens (Urteil des Bundesverwaltungsgerichts C-4037/2013 vom 17. Dezember 2014 E. 5.6).</w:t>
      </w:r>
    </w:p>
    <w:p>
      <w:r>
        <w:rPr>
          <w:b/>
        </w:rPr>
        <w:t>E. 3.4.1</w:t>
      </w:r>
    </w:p>
    <w:p>
      <w:r>
        <w:t>Sollte der Einwand der Beschwerdeführerin in Bezug auf eine BVG-Pflicht für den Zeitraum vom 1. Januar 2006 bis zum 17. Oktober 2013 so zu verstehen sein, dass sie geltend macht, für diesen Zeitraum keine BVG-Beiträge zu schulden (beispielsweise, weil es nach 2009 allenfalls Zeitspannen gab, in welchen keine BVG-pflichtige Personen angestellt waren), ist darauf hinzuweisen, dass auf die Frage, für welche Zeiträume und in welcher Höhe die Beschwerdeführerin tatsächlich Beiträge schuldet, im vorliegenden Verfahren nicht eingegangen werden kann; dies, zumal Anfechtungsobjekt vorliegend ausschliesslich die Zwangsanschlussverfügung ist (E. 1.3). Eine darauf gestützte - und eigenständig anfechtbare - Beitragsverfügung ist hingegen, soweit ersichtlich, zum jetzigen Zeitpunkt noch ausstehend.</w:t>
      </w:r>
    </w:p>
    <w:p>
      <w:r>
        <w:rPr>
          <w:b/>
        </w:rPr>
        <w:t>E. 3.5</w:t>
      </w:r>
    </w:p>
    <w:p>
      <w:r>
        <w:t>Nach dem Dargelegten ist die Beschwerde abzuweisen, soweit darauf einzutreten ist (vgl. E. 1.1, E. 1.3 und E. 3.4.1). Entsprechend ist die angefochtene Verfügung vollumfänglich zu bestätigen, insbesondere auch hinsichtlich der reglementskonform (E. 2.3) auferlegten Kosten.</w:t>
      </w:r>
    </w:p>
    <w:p>
      <w:r>
        <w:rPr>
          <w:b/>
        </w:rPr>
        <w:t>E. 4</w:t>
      </w:r>
    </w:p>
    <w:p>
      <w:r>
        <w:t>Ausgangsgemäss hat die Beschwerdeführerin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