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A-1791/2021 vom 27. Oktober 2021</w:t>
      </w:r>
    </w:p>
    <w:p>
      <w:r>
        <w:t>Bundesverwaltungsgericht, 2021-10-27, FR</w:t>
      </w:r>
    </w:p>
    <w:p>
      <w:r>
        <w:rPr>
          <w:b/>
        </w:rPr>
        <w:t xml:space="preserve">Quelle: </w:t>
      </w:r>
      <w:r>
        <w:t>https://mcp.opencaselaw.ch/entscheid/bvger_A-1791_2021</w:t>
      </w:r>
    </w:p>
    <w:p>
      <w:r>
        <w:t>FR: TAF A-1791/2021 du 27 octobre 2021</w:t>
      </w:r>
    </w:p>
    <w:p>
      <w:r>
        <w:t>IT: TAF A-1791/2021 del 27 ottobre 2021</w:t>
      </w:r>
    </w:p>
    <w:p>
      <w:pPr>
        <w:pStyle w:val="Heading2"/>
      </w:pPr>
      <w:r>
        <w:t>Regeste</w:t>
      </w:r>
    </w:p>
    <w:p>
      <w:r>
        <w:t>Assistance administrative</w:t>
      </w:r>
    </w:p>
    <w:p>
      <w:pPr>
        <w:pStyle w:val="Heading2"/>
      </w:pPr>
      <w:r>
        <w:t>Erwägungen</w:t>
      </w:r>
    </w:p>
    <w:p>
      <w:r>
        <w:rPr>
          <w:b/>
        </w:rPr>
        <w:t>E. 6.1.1</w:t>
      </w:r>
    </w:p>
    <w:p>
      <w:r>
        <w:t>Pour ce qui est des conditions de fond, les recourants arguent en premier lieu que les principes de la pertinence vraisemblable et de l'interdiction de la pêche aux renseignements seraient violés. A l'appui de leur grief, les recourants soutiennent tout d'abord qu'ils n'ont eu aucun lien avec le compte durant la période concernée, dès lors qu'ils ne seraient pas venus aux droits de leur défunt père. Ils se prévalent à cet égard de différents documents produits qui établiraient qu'ils ont renoncé à la succession de feu D._______ au profit de leur mère. Ils affirment ainsi que l'autorité inférieure n'était pas en droit d'inclure leur nom dans les documents destinés à la DGFiP, la transmission des renseignements dans ces conditions portant gravement atteinte à leurs droits fondamentaux. Les recourants plaident ensuite que feue leur mère n'était ni domiciliée, ni taxée en France, mais en (...), de sorte que les renseignements que l'autorité inférieure compte transmettre seraient erronés et non pertinents. Ils avancent en outre que la loi française n° 2018-998 du 23 octobre 2018 aurait instauré l'automaticité des dépôts de plaintes devant le procureur de la république par les fonctionnaires fiscaux recevant les renseignements par la voie de l'assistance fiscale internationale. Ils en concluent que le risque qu'ils encourent en cas de transmission des informations serait disproportionné par rapport à l'intérêt de l'Etat français à les obtenir, de sorte que les renseignements demandés ne seraient pas vraisemblablement pertinents et que leur transmission violerait le principe de la proportionnalité. Les recourants allèguent également que la demande constituerait une pêche aux renseignements proscrite dès lors que les listes B et C - sur lesquelles se fonde la demande de l'autorité française - datent de 2006 et 2008, soit plusieurs années avant le début de la période pour laquelle les renseignements sont demandés. Selon eux, il ne serait pas possible de conclure que ces données sont actuelles, de sorte que leur utilisation, sans autre indice, constituerait une fishing expedition. Finalement, les recourants avancent encore que, de l'aveu même de l'autorité requérante, les listes B et C comporteraient des informations concernant de nombreuses personnes ayant potentiellement rempli leurs obligations fiscales (jusqu'à 38% pour la liste C). Dans ces circonstances, il ne serait pas possible de conclure au non-respect quasi systématique des obligations déclaratives des personnes figurant sur les listes précitées.</w:t>
      </w:r>
    </w:p>
    <w:p>
      <w:r>
        <w:rPr>
          <w:b/>
        </w:rPr>
        <w:t>E. 6.1.2</w:t>
      </w:r>
    </w:p>
    <w:p>
      <w:r>
        <w:t>En l'occurrence, dans l'ATF 146 II 150, le Tribunal fédéral a jugé d'une manière qui lie la Cour de céans (ci-avant consid. 1.6.3)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5.2 supra) - répondait aux trois critères développés par la jurisprudence en lien avec les demandes groupées, applicables par analogie aux « demandes collectives », permettant d'exclure l'existence d'une fishing expedition (ci-avant consid. 3.5.2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les recourants ne permettent pas de conclure que la demande litigieuse constituerait une fishing expedition et violerait le principe de la pertinence vraisemblable.</w:t>
      </w:r>
    </w:p>
    <w:p>
      <w:r>
        <w:rPr>
          <w:b/>
        </w:rPr>
        <w:t>E. 6.1.3</w:t>
      </w:r>
    </w:p>
    <w:p>
      <w:r>
        <w:t>En revanche, la question n'a pas été spécifiquement examinée, dans l'arrêt du Tribunal fédéral, de savoir si, compte tenu des éléments concernant l'absence de domicile en France tels qu'allégués ici par les recourants,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3.9). 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feus D._______ et C._______ figurent avec un code domicile français « 111 » dans la liste Excel annexée à la requête du 11 mai 2016, les recourants ne contestant d'ailleurs pas que les précités aient été résidents français pour partie de la période visée, il y a lieu de retenir que le critère d'assujettissement invoqué par l'Etat requérant dans le cas d'espèce, à savoir celui du domicile se trouve dans ceux prévus dans la norme conventionnelle applicable à la détermination de la résidence fiscale et la question de savoir s'il entre en concurrence avec un critère d'assujettissement de l'Etat tiers dans lequel feue C._______ aurait été domiciliée fiscalement durant une partie de la période sous contrôle, à savoir en (...), n'a pas à être examinée par la Cour de céans. Quant à la prétendue erreur d'adresse dans l'Annexe A invoquée par les recourants - dite Annexe ne mentionnant pas d'adresse en (...) pour feue C._______ au profit d'une adresse en France - les éléments soulevés, dont un formulaire A daté de (...), ne suffisent pas à remettre en question les informations communiquées par la banque elle-même. Il appartiendra dès lors aux recourants de faire valoir leurs moyens et corriger l'adresse en question, s'il y a lieu, devant les autorités françaises.</w:t>
      </w:r>
    </w:p>
    <w:p>
      <w:r>
        <w:rPr>
          <w:b/>
        </w:rPr>
        <w:t>E. 6.1.4</w:t>
      </w:r>
    </w:p>
    <w:p>
      <w:r>
        <w:t>De même, les recourants ne peuvent tirer argument du fait qu'ils n'ont pas été bénéficiaires de la relation bancaire en cause durant la période visée. En effet, l'acte de notoriété produit, s'il relève que les recourants ont consenti à la donation à feue C._______ des biens dépendant de la succession de feu D._______, établit néanmoins leur qualité d'héritiers, en sorte que les recourants sont bel et bien venus aux droits de feu leur père. En requérant également des renseignements sur « toute autre personne venant aux droits et obligations » du titulaire ou de l'ayant droit économique du compte (cf. Faits, let. A.c), l'autorité fiscale française cherche précisément à identifier l'ensemble des personnes liées au compte en question et en répondant possiblement sur le plan fiscal, ce qui est indéniablement pertinent au regard du but fiscal annoncé. Doit de surcroît être relevé que l'autorité requérante sera informée de la nature du lien des recourants avec le compte en question, par la mention other relationship indiquée sous RelationToAccount dans le document qui lui sera transmis, qui indique précisément que la personne en question est concernée en qualité de successeur, ainsi que par des explications de l'AFC qui a annoncé que « ce point sera expliqué aux autorités françaises lors de la transmission » (cf. Réponse du 28 juin 2021 ch. 2.3). Les informations que l'autorité inférieure entend transmettre ne sont dès lors pas de nature, contrairement à ce que soutiennent les recourants, à laisser supposer qu'ils ont été bénéficiaires de la relation bancaire, ou même qu'ils en avaient connaissance. En conséquence, les recourants ne peuvent s'opposer à la transmission des renseignements, les modalités de partage successoral invoquées étant une question de fond qui n'a pas à être examinée par l'Etat requis, mais, le cas échéant, dans le cadre de la procédure fiscale en France.</w:t>
      </w:r>
    </w:p>
    <w:p>
      <w:r>
        <w:rPr>
          <w:b/>
        </w:rPr>
        <w:t>E. 6.1.5</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6.1.2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l'avancent les recourants - que celle-ci constituerait une pêche aux renseignements proscrite sous l'angle temporel. C'est par ailleurs également dans ce sens que la jurisprudence la plus récente de la Cour de céans a jugé cette question juridique (cf. arrêts du TAF A-3045/2020, A-3047/2020 et A-3048/2020, tous du 29 mars 2021 consid. 5.1.3 [le TF a déclaré irrecevable les recours déposés contre ces décisions : cf. notamment arrêt du TF 2C_320/2021 du 30 avril 2021]). Pour ce qui est de la violation alléguée par les recourants du principe de proportionnalité, il n'apparaît pas que le risque encouru par les recourants en cas de transmission des informations soit disproportionné par rapport à l'intérêt qu'a l'Etat français à les obtenir. En effet, dès lors que la requête de l'autorité française ne constitue pas une « fishing expedition », que les renseignements requis et à transmettre respectent strictement le principe de la pertinence vraisemblable et qu'au surplus, comme on le verra, le principe de spécialité est lui aussi respecté (ci-après consid. 6.3), le principe de proportionnalité, tel que concrétisé dans le domaine de l'assistance administrative en matière fiscale notamment par les éléments précités, est respecté. Au vu de tout ce qui précède, le grief invoqué par les recourants doit être rejeté.</w:t>
      </w:r>
    </w:p>
    <w:p>
      <w:r>
        <w:rPr>
          <w:b/>
        </w:rPr>
        <w:t>E. 6.2.1</w:t>
      </w:r>
    </w:p>
    <w:p>
      <w:r>
        <w:t>Au moyen d'un deuxième grief, les recourants reprochent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leur grief, les recourants avancent que les données sur lesquelles se base la présente demande auraient été acquises grâce à un acte punissable au regard du droit suisse, à savoir l'achat illégal par le Land allemand de Rhénanie du Nord-Westphalie d'un CD de données. Selon eux, il existerait un lien de causalité entre cet acte punissable et l'obtention par la France des données sur lesquelles serait fondée la demande litigieuse dès lors que, sans l'achat dudit CD, aucune perquisition n'aurait pu avoir lieu et les données fondant la requête du 11 mai 2016 n'auraient pas été découvertes. De surcroît, les recourants arguent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demandes d'assistance administrative fondées sur des données volées, comme celle du cas d'espèce.</w:t>
      </w:r>
    </w:p>
    <w:p>
      <w:r>
        <w:rPr>
          <w:b/>
        </w:rPr>
        <w:t>E. 6.2.2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Faits, let. A.b).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6.2.3</w:t>
      </w:r>
    </w:p>
    <w:p>
      <w:r>
        <w:t>Sur la base des faits tels que décrits ci-avant, il convient d'examiner si la demande litigieuse repose sur des données volées comme l'allèguent les recourants.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6.2.3.1 à 6.2.3.2 ci-après.</w:t>
      </w:r>
    </w:p>
    <w:p>
      <w:r>
        <w:rPr>
          <w:b/>
        </w:rPr>
        <w:t>E. 6.2.3.1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qu'invoquent les recourants,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 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les recourants ne le soutiennent à juste titre pas.</w:t>
      </w:r>
    </w:p>
    <w:p>
      <w:r>
        <w:rPr>
          <w:b/>
        </w:rPr>
        <w:t>E. 6.2.3.2</w:t>
      </w:r>
    </w:p>
    <w:p>
      <w:r>
        <w:t>Quant à l'existence d'un lien de causalité entre les données prétendument volées et la demande d'assistance administrative dont se prévalent les recourants,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 Au surplus, force est de constater que l'autorité requérante ne peut être considérée comme ayant acheté des données acquises illégalement au regard du droit suisse pour fonder sa demande (cf. consid. 6.2.3 supra), ce que les recourants n'invoquent au demeurant pas. Partant, le grief des recourants doit être rejeté.</w:t>
      </w:r>
    </w:p>
    <w:p>
      <w:r>
        <w:rPr>
          <w:b/>
        </w:rPr>
        <w:t>E. 6.3.1</w:t>
      </w:r>
    </w:p>
    <w:p>
      <w:r>
        <w:t>Dans un troisième grief, les recourants avancent que le principe de spécialité ne serait pas respecté dans le cas d'espèce. A l'appui de leur grief, ils arguent en substance qu'il existerait un fort risque que l'autorité requérante utilise - en violation du principe de spécialité - les informations reçues par le biais de la présente procédure d'assistance administrative à d'autres fins que fiscales, spécialement dans le cadre de la procédure pénale menée contre la banque UBS en France. Les recourants précisent que l'autorité requérante n'aurait jamais pris d'engagement ferme de ne pas utiliser les informations reçues dans le cadre de la procédure pénale menée à l'encontre de la banque précitée et que le droit interne français ne permettrait pas aux fonctionnaires des autorités fiscales de respecter le principe de spécialité.</w:t>
      </w:r>
    </w:p>
    <w:p>
      <w:r>
        <w:rPr>
          <w:b/>
        </w:rPr>
        <w:t>E. 6.3.2</w:t>
      </w:r>
    </w:p>
    <w:p>
      <w:r>
        <w:t>Pour autant qu'il puisse être entré en matière sur ce grief qui ne paraît concerner que les intérêts de la banque UBS, c'est-à-dire un tiers par rapport aux recourants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qu'invoquent les recourants,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(ATF 146 II 150 consid. 7 ; cf. Faits, let. E).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6.3.3</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142 II 13 consid. 3.4 et 146 I 172 consid. 7.1.3 ; arrêt du TAF A-5522/2019 du 18 août 2020 consid. 3.4.3). La Cour de céans observe d'ailleurs qu'au ch. 3 du dispositif de la décision finale notifiée à la recourante,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 Tel n'est en revanche pas le cas dans la décision finale notifiée au recourant, de sorte qu'il convient, au vu des avis divergents tant au niveau international que national quant à la portée du principe précité et, en particulier, sur sa composante personnelle, que l'AFC informe l'autorité requérante de l'étendue de la restriction d'utilisation lors de la transmission des informations requises (cf. ATF 142 II 13 consid. 3.7 ; arrêt du TF 2C_545/2019 du 13 juillet 2020 consid. 4 ; arrêt du TAF A-5522/2019 précité consid. 3.4.3).</w:t>
      </w:r>
    </w:p>
    <w:p>
      <w:r>
        <w:rPr>
          <w:b/>
        </w:rPr>
        <w:t>E. 6.4.1</w:t>
      </w:r>
    </w:p>
    <w:p>
      <w:r>
        <w:t>En dernier lieu, il sied encore d'examiner la conclusion des recourants tendant au constat de la nullité des décisions attaquées au motif que leur droit d'être entendus aurait été violé dès lors qu'ils n'auraient pas eu accès à toutes les pièces sur lesquelles l'AFC se serait fondée pour rendre les décisions entreprises. Les recourants requièrent plus précisément l'accès à la déclaration des autorités fiscales allemandes faite dans le cadre d'une procédure d'assistance administrative parallèle, la déclaration soumise par la banque UBS dans le cadre de la procédure diligentée par le Ministère public de la Confédération ainsi que le mandat de perquisition délivré par le parquet de Bochum le 3 juillet 2013 qui a été fourni par la banque UBS dans le cadre de la présente procédure (cf. Décision finale de l'AFC, ch. 6.4 et consid. 6.2.2 supra pour la retranscription de ladite décision finale). Selon eux, ces pièces auraient été utilisées à leur détriment dès lors que ce serait sur leur base que l'AFC aurait retenu qu'il n'existait aucun lien de causalité entre le CD de données acheté illégalement par les autorités allemandes et les informations sur lesquelles se fondent la présente demande.</w:t>
      </w:r>
    </w:p>
    <w:p>
      <w:r>
        <w:rPr>
          <w:b/>
        </w:rPr>
        <w:t>E. 6.4.2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6.4.3</w:t>
      </w:r>
    </w:p>
    <w:p>
      <w:r>
        <w:t>Force est ici de constater - au vu de tout ce qui précède - que le contenu exact des pièces dont la production est requise par les recourants (cf. consid. 6.4.1 ci-dessus) n'a aucune incidence dans le cas d'espèce sur l'évaluation des conditions matérielles de la requête faite par la DGFiP. En effet, dès lors qu'il est admis que l'autorité requérante française n'a pas donné d'assurance en lien avec les données qu'elle a obtenues de la part de l'Allemagne, l'examen de l'existence d'un lien de causalité entre les données prétendument volées et la demande litigieuse n'est pas déterminant dans le cas d'espèce pour considérer que la présente requête ne se fonde pas sur des données volées. De surcroît, et contrairement à ce qu'invoquent les recourants, il est relevé que le contenu des pièces précitées ressort explicitement des décisions attaquées.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des recourants. Dans ces circonstances, le Tribunal de céans ne saurait considérer que le droit d'être entendus des recourants a été violé, de sorte que la nullité des décisions attaquées n'est pas constatée.</w:t>
      </w:r>
    </w:p>
    <w:p>
      <w:r>
        <w:rPr>
          <w:b/>
        </w:rPr>
        <w:t>E. 7</w:t>
      </w:r>
    </w:p>
    <w:p>
      <w:r>
        <w:t>Les recourants sollicitent (ci-avant, Faits, let. O), la suspension de la procédure jusqu'à l'obtention d'un jugement définitif dans toute procédure pénale ayant trait au complexe de faits de la demande d'assistance administrative française ici en cause, en particulier dans la procédure mentionnée par l'AFC et dirigée contre l'ex-employée d'UBS Deutschland AG, et jusqu'à l'obtention du jugement en appel dans le cadre de la procédure pénale contre UBS en France. La Cour rappelle que, même en l'absence d'une base légale expresse dans la PA, le Tribunal administratif fédéral peut, d'office ou sur requête, suspendre une procédure, pour autant que cela soit compatible avec l'obligation de diligence de l'art. 29 al. 1 Cst. Ainsi, une suspension de la procédure entre notamment en ligne de compte lorsque les circonstances du cas impliquent qu'une décision immédiate ne se justifie pas sous l'angle de l'économie de la procédure (Moser/BEUSCH/KNEUBÜHLER, op. cit., ch. 3.14), en particulier si le sort d'un autre litige est susceptible d'influer sur l'issue de la cause (Moser/BEUSCH/KNEUBÜHLER, op. cit., ch. 3.15). Or, en prenant en considération les éléments mentionnés ci-avant (consid. 6.2.3), force est de constater que ces requêtes de suspension doivent être rejetées, pour autant qu'elles ne soient pas devenues sans objet. A cet égard, la Cour de céans relève que - compte tenu de l'arrêt du Tribunal pénal fédéral SK.2016.34 du 21 janvier 2019 précité - la conclusion des recourants tendant à la suspension de la procédure jusqu'à l'obtention d'un jugement définitif dans toute procédure pénale ayant trait au complexe de faits de la présente demande (ci-avant, Faits, let. O) paraît ne plus avoir d'objet. En effet, l'ensemble des éléments invoqués pour justifier la suspension de la procédure se sont produits et les arrêts sont désormais définitifs, les procédures pénales dirigées contre l'ex-employée d'UBS Deutschland AG et contre la banque UBS elle-même n'étant au demeurant et pour les motifs déjà évoqués (cf. consid. 6.2.3) pas de nature à fonder une suspension de la procédure. Il y a ainsi lieu de rejeter les requêtes de suspension, dans la mesure où elles ont encore un objet.</w:t>
      </w:r>
    </w:p>
    <w:p>
      <w:r>
        <w:rPr>
          <w:b/>
        </w:rPr>
        <w:t>E. 8.1</w:t>
      </w:r>
    </w:p>
    <w:p>
      <w:r>
        <w:t>Vu les considérants qui précèdent, les recours sont rejetés. Les recourants, qui succombent, doivent supporter solidairement les frais de procédure, lesquels se montent, compte tenu de la charge de travail liée à la procédure, à Fr. 7'500.- (cf. l'art. 63 al. 1 PA et art. 4 du règlement du 21 février 2008 concernant les frais, dépens et indemnités fixés par le TAF [FITAF, RS 173.320.2]). Ils seront prélevés sur l'avance de frais déjà versée de Fr. 10'000.-. Le solde de Fr. 2'500.- sera restitué aux recourants, par Fr. 1'250.- chacun, une fois le présent arrêt entré en force.</w:t>
      </w:r>
    </w:p>
    <w:p>
      <w:r>
        <w:rPr>
          <w:b/>
        </w:rPr>
        <w:t>E. 8.2</w:t>
      </w:r>
    </w:p>
    <w:p>
      <w:r>
        <w:t>Vu l'issue de la cause, il n'est pas alloué de dépens (art. 64 al. 1 PA a contrario et art. 7 al. 1 FITAF a contrario).</w:t>
      </w:r>
    </w:p>
    <w:p>
      <w:r>
        <w:rPr>
          <w:b/>
        </w:rPr>
        <w:t>E. 9</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