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A-178/2014 vom 6. März 2015</w:t>
      </w:r>
    </w:p>
    <w:p>
      <w:r>
        <w:t>Bundesverwaltungsgericht, 2015-03-06, DE</w:t>
      </w:r>
    </w:p>
    <w:p>
      <w:r>
        <w:rPr>
          <w:b/>
        </w:rPr>
        <w:t xml:space="preserve">Quelle: </w:t>
      </w:r>
      <w:r>
        <w:t>https://mcp.opencaselaw.ch/entscheid/bvger_A-178_2014</w:t>
      </w:r>
    </w:p>
    <w:p>
      <w:r>
        <w:t>FR: TAF A-178/2014 du 6 mars 2015</w:t>
      </w:r>
    </w:p>
    <w:p>
      <w:r>
        <w:t>IT: TAF A-178/2014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Beschwerdeführerin der Beschwerdegegnerin für das Tarifjahr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beteiligte sich am vorinstanzlichen Verfahren, drang mit ihren Rechtsbegehren jedoch nur teilweise durch. Sie ist somit formell und materiell beschwert und ohne Weiteres zur Beschwerde legitimiert.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Prozessieren vor dem Bundesverwaltungsgericht, 2. Aufl. 2013,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 Beusch/Kneubühler, a.a.O., Rz. 2.210).</w:t>
      </w:r>
    </w:p>
    <w:p>
      <w:r>
        <w:rPr>
          <w:b/>
        </w:rPr>
        <w:t>E. 1.3.2</w:t>
      </w:r>
    </w:p>
    <w:p>
      <w:r>
        <w:t>Vorliegend ist unbestritten, dass die Beschwerdegegnerin auf der Rückerstattungsforderung der Beschwerdeführerin ab dem von der Vorinstanz für den Verzugseintritt als massgeblich erachteten Zeitpunkt, d.h. dem 28. Dezember 2010, einen Verzugszins von 5 % zu entrichten hatte. Streitig ist jedoch einerseits, ob der Verzug bereits mit der Entrichtung der SDL-Akontozahlungen unter Vorbehalt eintrat und die Beschwerdegegnerin daher ab diesem Zeitpunkt bis zu dem von der Vorinstanz für den Verzugseintritt als massgeblich erachteten späteren Zeitpunkt zusätzliche Verzugszinsen zu bezahlen hat (vgl. Rechtsbegehren 1). Umstritten ist andererseits, ob die Beschwerdeführerin für den Fall, dass dies zu verneinen ist, ab der Entrichtung der SDL-Akontozahlungen bis zum - ebenfalls streitigen - massgeblichen späteren Zeitpunkt des Verzugseintritts Anspruch auf Bereicherungszins hat (vgl. Eventualbegehren). Streitig ist zudem die Verlegung der Kosten des vorinstanzlichen Verfahrens (vgl. Rechtsbegehren 2).</w:t>
      </w:r>
    </w:p>
    <w:p>
      <w:r>
        <w:rPr>
          <w:b/>
        </w:rPr>
        <w:t>E. 1.3.3</w:t>
      </w:r>
    </w:p>
    <w:p>
      <w:r>
        <w:t>Während die Beschwerdeführerin mit dem Rechtsbegehren 1 nicht über den Streitgegenstand des vorinstanzlichen Verfahrens hinausgeht, da sie bereits dort Verzugszins ab Entrichtung der SDL-Akontozahlungen geltend machte, und die mit Rechtsbegehren 2 geforderte Kostenverlegung der vor der Vorinstanz verlangten entspricht, beantragt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Beschwerdegegnerin. Da Erstere in ihren Stellungnahmen einen Anspruch der Beschwerdeführerin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9).</w:t>
      </w:r>
    </w:p>
    <w:p>
      <w:r>
        <w:rPr>
          <w:b/>
        </w:rPr>
        <w:t>E. 1.4</w:t>
      </w:r>
    </w:p>
    <w:p>
      <w:r>
        <w:t>Die Beschwerde wurde im Weiteren frist- und formgerecht eingereicht (vgl. Art. 50 Abs. 1 und Art. 52 Abs. 1 VwVG), weshalb - unter Vorbehalt der vorstehenden Ausführungen (vgl. E. 1.3.3) - darauf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einerseits streitig, ob der Verzug bereits mit der Entrichtung der SDL-Akontozahlungen unter Vorbehalt eintrat und die Beschwerdegegnerin der Beschwerdeführerin daher ab diesem Zeitpunkt bis zu dem von der Vorinstanz für den Verzugseintritt als massgeblich erachteten späteren Zeitpunkt zusätzliche Verzugszinsen zu bezahlen hat (vgl. Rechtsbegehren 1). Andererseits ist umstritten, ob die Beschwerdeführerin für den Fall, dass dies zu verneinen ist, ab der Entrichtung der Akontozahlungen bis zum - ebenfalls streitigen - massgeblichen späteren Zeitpunkt des Verzugseintritts Anspruch auf Bereicherungszins hat (vgl. Eventualbegehren). Streitig ist zudem die Verlegung der Kosten des vorinstanzlichen Verfahrens (vgl. Rechtsbegehren 2). Nachfolgend wird zunächst die erste Frage (vgl. E. 4 ff.), anschliessend die zweite (vgl. E. 7 ff.) und schliesslich die dritte geprüft (vgl. E. 10). Vorab ist an dieser Stelle auf die Rechtsnatur des Rechtsverhältnisses einzugehen, welches zwischen der Beschwerdeführerin und der 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Verfügung der Vorinstanz vom 14. April 2011, mit der diese die SDL-Kosten für das Tarifjahr 2009 genehmigte, bzw. einer entsprechenden Genehmigungsverfügung für das Tarifjahr 2010 resultiert. Zwischen den erwähnten Kraftwerkbetreiberinnen und der 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Beschwerdegegnerin zu unterscheiden ist und daher namentlich nicht einfach den für diese Beziehungen geltenden vertraglichen Regeln unterstellt werden darf. Entgegen der Ansicht der 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Beschwerdegegnerin selbst regelte. Diese punktuelle Regelung änderte indes nichts daran, dass die 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Beschwerdegegnerin nicht mit entsprechenden Leistungen an eine Steuer- oder Veranlagungsbehörde vergleichbar. Sie könnten daher auch nicht den für derartige Leistungen allenfalls geltenden besonderen Regeln unterstellt werden (vgl. E. 5.4.2). Eine Klärung der Frage ist zudem auch wegen des Begehrens auf Zusprechung von Bereicherungszins nicht erforderlich (vgl. E. 9.5.1). Zusätzlicher Verzugszins (Rechtsbegehren 1)</w:t>
      </w:r>
    </w:p>
    <w:p>
      <w:r>
        <w:rPr>
          <w:b/>
        </w:rPr>
        <w:t>E. 4</w:t>
      </w:r>
    </w:p>
    <w:p>
      <w:r>
        <w:t>Die Beschwerdeführerin nennt im Zusammenhang mit ihrem Begehren auf zusätzlichen Verzugszins (vgl. Rechtsbegehren 1) die Gründe, wieso der Verzug bereits mit der Entrichtung der SDL-Akontozahlungen unter Vorbehalt eingetreten sei (vgl. dazu nachfolgend E. 5 f.). Soweit sie sich dabei nicht auf besondere Regeln beruft, geht sie mit der 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 der Beschwerdeführerin als privatrechtlich] oder unter Heranziehung dieser Kriterien im öffentlichen Recht [bei einer Qualifikation dieser Forderung als öffentlich-rechtlich]; vgl. BGE 127 V 377 E. 5e/bb; Urteil des Bundesgerichts 9C_66/2012 vom 25. Juni 2012 E. 3.2; Urteile des Bundesverwaltungsgerichts A-2483/2013 vom 17. März 2014 E. 2.5.3 m.w.H. und A-2619/2009 vom 29. November 2011 E. 5). Nachfolgend ist daher vorab, soweit erforderlich,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Beschwerdeführerin bringt zugunsten des Verzugseintritts im Zeitpunkt der Entrichtung der SDL-Akontozahlungen unter Vorbehalt vor,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die allgemein für Fälle gelte, in denen ein Rechtssubjekt gestützt auf Verwaltungsrecht unrechtmässig zur Zahlung eines Abgabebetrags verpflichtet werde, seien die Vorbehalte, die sie mit den SDL-Akontozahlungen verbunden habe, als Mahnungen zu qualifizieren. Dafür spreche insbesondere auch der Umstand, dass es sich nicht rechtfertige, einen Schuldner, der aufgrund einer gesetzes- und verfassungswidrigen Verordnungsbestimmung verpflichtet sei, eine Geldsumme vorerst zu bezahlen und den Ausgang eines gerichtlichen Normenkontrollverfahrens abzuwarten, das wirtschaftliche Risiko dieser Bestimmung tragen zu lassen. Unerheblich sei zudem, ob die Rechnungsstellung der Beschwerdegegnerin auf hoheitlichem Verfügungshandeln basiert habe. Für den Zinsenlauf könne es nicht darauf ankommen, ob die Zahlungsempfängerin die verfügende Behörde sei oder nur deren Verfügung vollziehe.</w:t>
      </w:r>
    </w:p>
    <w:p>
      <w:r>
        <w:rPr>
          <w:b/>
        </w:rPr>
        <w:t>E. 5.2</w:t>
      </w:r>
    </w:p>
    <w:p>
      <w:r>
        <w:t>Die Beschwerdegegnerin ist der Ansicht, die Beschwerdeführerin könne aus BGE 95 I 258 nichts zu ihren Gunsten ableiten, da der vorliegend zu beurteilende Sachverhalt anders gelagert sei. Ihre Rechnungsstellung für die SDL-Akontozahlungen habe nicht auf hoheitlichem Verfügungshandeln beruht. Die Vorbehalte der Beschwerdeführerin hätten sich somit anders als der Vorbehalt im zitierten Bundesgerichtsentscheid nicht gegen eine (provisorische) Veranlagungsverfügung gerichtet. Es sei daher nicht gerechtfertigt, sie - und damit die Endverbraucher - mit Verzugszinsen von 5 % ab Zahlung unter Vorbehalt zu belasten.</w:t>
      </w:r>
    </w:p>
    <w:p>
      <w:r>
        <w:rPr>
          <w:b/>
        </w:rPr>
        <w:t>E. 5.3</w:t>
      </w:r>
    </w:p>
    <w:p>
      <w:r>
        <w:t>Die Vorinstanz führt in der angefochtenen Verfügung aus, der von der Beschwerdeführerin zitierte Bundesgerichtsentscheid sei vor über 40 Jahren ergangen. Es handle sich um einen Einzelfallentscheid in einem spezifischen Normenbereich, der vom Bundesgericht für andere Bereiche bislang nicht bestätigt worden sei. Eine konstante bundesgerichtliche Praxis, die den Beginn des Zinsenlaufs in einer Konstellation wie der vorliegenden im Sinne der 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5.4.1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5.4.2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Beschwerdegegnerin und der Beschwerdeführerin hinsichtlich der (vermeintlichen) Beitragspflicht nach aArt. 31b Abs. 2 StromVV bzw. der entsprechenden Akontozahlungen kein Subordinations- resp. kein abgaberechtliches Verhältnis. Die Beschwerdegegnerin war gegenüber der 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Beschwerdeführerin zur Bezahlung der SDL-Akontorechnungen aus öffentlich-rechtlichen Vorgaben, namentlich der Tarifverfügung der Vorinstanz vom 4. März 2010 ergab, sind die rechtsgrundlos erfolgten Akontozahlungen wegen der rechtlichen Stellung der Beschwerdegegnerin bzw. der Rechtsnatur des zwischen dieser und der Beschwerdeführerin bestehenden Verhältnisses daher nicht mit der Leistung des Beschwerdeführers in BGE 95 I 258 an die Veranlagungsbehörde zu vergleichen. Sie könnten deshalb entgegen der Ansicht der Beschwerdeführerin, die die unterschiedliche Rechtsstellung der Beschwerdegegnerin zu Unrecht als irrelevant qualifiziert, auch nicht dieser Rechtsprechung unterstellt werden, hätte dies doch zur Folge, dass die Beschwerdegegnerin wie eine Steuer- oder Veranlagungsbehörde bzw. wie eine hoheitlich handelnde Leistungsempfängerin behandelt würde, obschon sie dies gerade nicht ist. Die Beschwerdegegnerin hat denn auch - wie die Beschwerdeführerin in ihrer Replik einräumt - nie anerkannt, sie müsse auf den SDL-Akontozahlungen ab deren Entrichtung Verzugszinsen leisten.</w:t>
      </w:r>
    </w:p>
    <w:p>
      <w:r>
        <w:rPr>
          <w:b/>
        </w:rPr>
        <w:t>E. 5.4.3</w:t>
      </w:r>
    </w:p>
    <w:p>
      <w:r>
        <w:t>Soweit die Beschwerdeführerin vorbringt, ihre Vorbehalte seien gestützt auf BGE 95 I 258 E. 3 als Mahnungen zu qualifizieren, die die Beschwerdegegnerin im Zeitpunkt der Entrichtung der SDL-Akontozahlungen in Verzug gesetzt hätten, erweist sich dies demnach als unzutreffend.</w:t>
      </w:r>
    </w:p>
    <w:p>
      <w:r>
        <w:rPr>
          <w:b/>
        </w:rPr>
        <w:t>E. 6.1</w:t>
      </w:r>
    </w:p>
    <w:p>
      <w:r>
        <w:t>Die Beschwerdeführerin beruft sich zugunsten des Verzugseintritts im Zeitpunkt der Entrichtung der SDL-Akontozahlungen unter Vorbehalt ausserdem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Beschwerdeführerin handelt die Beschwerdegegnerin insoweit missbräuchlich bzw. will sie insoweit eine unangemessene Geschäftsbedingung im Sinne von Art. 7 KG erzwingen, als sie als marktbeherrschendes Unternehmen für den Beginn des Verzugszinsenlaufs auf den Rückerstattungsforderungen für die zu Unrecht entrichteten SDL-Akontozahlungen eine Mahnung verlange. Die Vorinstanz hätte deshalb eine kartellrechtlich angemessene Regelung in dem Sinn treffen müssen (und dürfen), dass der Lauf der Verzugszinsen 30 Tage nach der Rechnungsstellung der Beschwerdegegnerin für die SDL-Akontozahlungen, mithin mit deren Leistung begonnen habe. Da sie dies in Verletzung von Bundesrecht nicht getan habe, müsse das Bundesverwaltungsgericht diese Regel anordnen und bei der Berechnung der Verzugszinsen berücksichtigen.</w:t>
      </w:r>
    </w:p>
    <w:p>
      <w:r>
        <w:rPr>
          <w:b/>
        </w:rPr>
        <w:t>E. 6.2</w:t>
      </w:r>
    </w:p>
    <w:p>
      <w:r>
        <w:t>Die Beschwerdegegnerin bringt namentlich vor, die allgemeinen Regeln, die in den vertraglichen Beziehungen zwischen ihr und der Beschwerdeführerin gälten, seien auf die SDL-Akontozahlungen nicht anwendbar gewesen, da für eine vertragliche Beziehung in dieser Hinsicht kein Raum bestanden habe.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6.3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Beschwerdeführerin verlange.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6.4.1</w:t>
      </w:r>
    </w:p>
    <w:p>
      <w:r>
        <w:t>Wie dargelegt (vgl. E. 3.2. f.), war das Rechtsverhältnis zwischen den Kraftwerkbetreiberinnen im Sinne von aArt. 31b Abs. 2 StromVV und der 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Beschwerdeführerin und der 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anzuwenden seien. Ebenso wenig ist ersichtlich bzw. erstellt, dass die Beschwerdegegnerin von der Geltung dieser Regeln für die Rechnungsstellung für die Akontozahlungen von Kraftwerkbetreiberinnen im erwähnten Sinn ausging oder sie in einem konkreten Fall auf diese Rechnungen anwandte.</w:t>
      </w:r>
    </w:p>
    <w:p>
      <w:r>
        <w:rPr>
          <w:b/>
        </w:rPr>
        <w:t>E. 6.4.2</w:t>
      </w:r>
    </w:p>
    <w:p>
      <w:r>
        <w:t>Das Fehlen einer einschlägigen vertraglichen Verzugsregelung bedeutet nun jedoch - entgegen dem, was die Beschwerdeführerin offenbar annimmt - nicht, bei der Frage, ab wann auf den Rückerstattungsforderungen für die zu Unrecht entrichteten SDL-Akontozahlungen Verzugszinsen zu leisten sind, gehe es darum, das durch öffentlich-rechtliche Vorgaben determinierte Rechtsverhältnis insoweit nachträglich um eine angemessene Regel zu ergänzen. Vielmehr geht es um die Eruierung der Antwort, die sich aus der Anwendung der allgemeinen Verzugsregeln auf die Rückerstattungsforderungen für diese Zahlungen ergibt. Mit dem Argument, der Beginn des Verzugszinsenlaufs setze eine Mahnung voraus, stellt die Beschwerdegegnerin demnach keine Geschäftsbedingung für dieses Verhältnis auf. Vielmehr bringt sie zum Ausdruck, welche Antwort sie den allgemeinen Verzugsregeln bezüglich der vorliegend streitigen Frage entnimmt. Es kann ihr folglich allein schon deshalb nicht vorgeworfen werden, sie handle mit ihrer Forderung missbräuchlich im Sinne von Art. 7 Abs. 1 KG bzw. sie wolle eine unangemessene Geschäftsbedingung im Sinne von Art. 7 Abs. 2 Bst. c KG erzwingen. Das Vorbringen der Beschwerdeführerin erweist sich daher bereits aus diesem Grund als unzutreffend, weshalb nicht weiter darauf eingegangen zu werden braucht.</w:t>
      </w:r>
    </w:p>
    <w:p>
      <w:r>
        <w:rPr>
          <w:b/>
        </w:rPr>
        <w:t>E. 6.4.3</w:t>
      </w:r>
    </w:p>
    <w:p>
      <w:r>
        <w:t>Entgegen der Ansicht der Beschwerdeführerin trat der Verzug der Beschwerdegegnerin somit nicht im Zeitpunkt der Leistung der SDL-Akontozahlungen unter Vorbehalt ein. Damit erweist sich das Rechtsbegehren 1 als unbegründet, weshalb es abzuweisen ist. Ergänzender Bereicherungszins (Eventualbegehren)</w:t>
      </w:r>
    </w:p>
    <w:p>
      <w:r>
        <w:rPr>
          <w:b/>
        </w:rPr>
        <w:t>E. 7</w:t>
      </w:r>
    </w:p>
    <w:p>
      <w:r>
        <w:t>Im Zusammenhang mit dem Eventualbegehren der Beschwerdeführerin stellt sich einerseits die Frage, ob für den Verzugseintritt von einem früheren Zeitpunkt auszugehen ist, als ihn die Vorinstanz in der angefochtenen Verfügung als massgeblich erachtete. Andererseits ist zu prüfen, ob der Beschwerdeführerin ab der Entrichtung der SDL-Akontozahlungen bis zum massgeblichen späteren Zeitpunkt des Verzugseintritts Bereicherungszins zusteht. Nachfolgend wird zunächst auf erstere (vgl. E. 7.1 ff. und E. 8), anschliessend auf letztere Frage (vgl. E. 9) eingegangen. Verzugseintritt</w:t>
      </w:r>
    </w:p>
    <w:p>
      <w:r>
        <w:rPr>
          <w:b/>
        </w:rPr>
        <w:t>E. 7.1</w:t>
      </w:r>
    </w:p>
    <w:p>
      <w:r>
        <w:t>Die Beschwerdeführerin macht im Zusammenhang mit ihrem Eventualbegehren geltend, ihre Beschwerde gegen die Tarifverfügung der Vorinstanz vom 4. März 2010 sei als verzugsauslösende Mahnung zu qualifizieren, da sie damit unmissverständlich zum Ausdruck gebracht habe, die für das Tarifjahr 2010 geleisteten Akontozahlungen zurückfordern zu wollen.</w:t>
      </w:r>
    </w:p>
    <w:p>
      <w:r>
        <w:rPr>
          <w:b/>
        </w:rPr>
        <w:t>E. 7.2</w:t>
      </w:r>
    </w:p>
    <w:p>
      <w:r>
        <w:t>Die Vorinstanz führt in der angefochtenen Verfügung mit Verweis auf das Urteil des Bundesverwaltungsgerichts A-2619/2009 vom 29. November 2011 aus, die Beschwerdeführerin habe in der Beschwerde gegen die Tarifverfügung der Vorinstanz vom 4. März 2010 einzig die Aufhebung jener Dispositivziffer beantragt, mit welcher der von den Kraftwerkbetreiberinnen im Sinne von aArt. 31b Abs. 2 StromVV zu übernehmende Anteil an den SDL-Kosten festgesetzt worden sei. Ein konkretes Leistungsbegehren auf Rückerstattung der entrichteten SDL-Akontozahlungen habe sie jedoch nicht gestellt. Ihre Beschwerde könne daher nicht als Mahnung qualifiziert werden.</w:t>
      </w:r>
    </w:p>
    <w:p>
      <w:r>
        <w:rPr>
          <w:b/>
        </w:rPr>
        <w:t>E. 7.3.1</w:t>
      </w:r>
    </w:p>
    <w:p>
      <w:r>
        <w:t>Das von der Vorinstanz zitierte Urteil des Bundesverwaltungsgerichts betrifft die Beschwerde einer Kraftwerkbetreiberin im Sinne von aArt. 31b Abs. 2 StromVV, mit der diese die Aufhebung von Dispositivziffer 3 der Tarifverfügung der Vorinstanz vom 6. März 2009 (vgl. Bst. B.a) und die Rückerstattung allfälliger bereits geleisteter SDL-Akontozahlungen zuzüglich Verzugszins von 5 % ab dem jeweiligen Zahlungseingang beantragte (vgl. Bst. D des Urteils). Das Bundesverwaltungsgericht führte hinsichtlich des Zeitpunkts des Verzugseintritts in Übereinstimmung mit Lehre und Rechtsprechung (vgl. BGE 130 III 591 E. 3; Wiegand, a.a.O., Art. 102 N. 9) aus, das gerichtliche Geltendmachen einer Forderung sei eine Art der Mahnung, wobei der Verzug in dem Moment eintrete, in dem die Rechtsschrift dem Schuldner zugestellt werde. Es stellte deshalb im beurteilten Fall für den Eintritt des Verzugs auf den Zeitpunkt ab, in dem die Beschwerdeschrift der Beschwerdegegnerin zuging, dies allerdings nur hinsichtlich allfälliger bis zu diesem Zeitpunkt bereits geleisteter SDL-Akontozahlungen (vgl. E. 5 des Urteils).</w:t>
      </w:r>
    </w:p>
    <w:p>
      <w:r>
        <w:rPr>
          <w:b/>
        </w:rPr>
        <w:t>E. 7.3.2</w:t>
      </w:r>
    </w:p>
    <w:p>
      <w:r>
        <w:t>Im Unterschied zur beschwerdeführenden Kraftwerkbetreiberin im vorstehend erwähnten Fall beantragte die Beschwerdeführerin in ihrer Beschwerde vom 22. April 2010 gegen die Tarifverfügung der Vorinstanz vom 4. März 2010 unbestrittenermassen nicht, die Beschwerdegegnerin sei zur Rückzahlung (allfälliger) bereits geleisteter SDL-Akontozahlungen zu verpflichten. Vielmehr beschränkte sie sich darauf, (u.a.) die Aufhebung jener Dispositivziffer zu fordern, mit welcher der von den Kraftwerkbetreiberinnen im Sinne von aArt. 31b Abs. 2 StromVV zu übernehmende Anteil an den SDL-Kosten festgesetzt wurde (Dispositivziffer 5 der Tarifverfügung vom 4. März 2010; vgl. Bst. B.b). Sie machte somit mit ihrer Beschwerde ans Bundesverwaltungsgericht keine Rückerstattungsforderung gegen die Beschwerdegegnerin für (allfällige) für das Tarifjahr 2010 bereits geleistete SDL-Akontozahlungen geltend. Ihre Beschwerde kann daher, wie die Vorinstanz zutreffend ausführt, nicht als Mahnung qualifiziert werden. Dies gilt im Übrigen umso mehr, als die Beschwerdeführerin im Zeitpunkt der Beschwerdeerhebung noch keine Akontozahlungen für das Tarifjahr 2010 geleistet hatte, ihre Rückerstattungsforderung in diesem Zeitpunkt mithin noch gar nicht bestand (vgl. Urteil des Bundesverwaltungsgerichts A-2619/2009 vom 29. November 2011 E. 5). Soweit die Beschwerdeführerin geltend macht, der Verzug sei bereits im Zeitpunkt der Erhebung der erwähnten Beschwerde eingetreten, erweist sich dies demnach als unzutreffend.</w:t>
      </w:r>
    </w:p>
    <w:p>
      <w:r>
        <w:rPr>
          <w:b/>
        </w:rPr>
        <w:t>E. 8.1</w:t>
      </w:r>
    </w:p>
    <w:p>
      <w:r>
        <w:t>Die Beschwerdeführerin bringt in der Beschwerde im Zusammenhang mit ihrem Eventualbegehren weiter vor, sollten die Zahlungsvorbehalte nicht als Mahnungen qualifiziert werden, seien sie jedenfalls als Vereinbarung eines Verfalltags zu interpretieren. Dies in dem Sinne, dass gegebenenfalls jener Tag als Verfalltag gelte, an dem die Rechtsgrundlage für die SDL-Akontozahlungen als rechtswidrig qualifiziert werde. Mit Urteil A-2607/2009 vom 8. Juli 2010 habe das Bundesverwaltungsgericht dies getan. Ab diesem Zeitpunkt sei die Beschwerdegegnerin folglich ohne besonderen Hinweis zur Rückerstattung der SDL-Akontozahlungen verpflichtet gewesen. In der Replik führt sie aus, die Frage, ob die Beschwerdegegnerin einen Verfalltag habe vereinbaren können, stelle sich nicht, habe sich diese doch nach Treu und Glauben darüber im Klaren sein müssen, dass sie spätestens mit dem erwähnten Urteil in Verzug geraten sei.</w:t>
      </w:r>
    </w:p>
    <w:p>
      <w:r>
        <w:rPr>
          <w:b/>
        </w:rPr>
        <w:t>E. 8.2</w:t>
      </w:r>
    </w:p>
    <w:p>
      <w:r>
        <w:t>Die Beschwerdegegnerin macht geltend, der Verzug könne nicht am Tag des Urteils A-2607/2009 des Bundesverwaltungsgerichts eingetreten sein, da sie mit der Beschwerdeführerin keinen Verfalltag vereinbart habe. Im Weiteren sei nicht nachvollziehbar, inwieweit dieses Urteil, das eine Drittperson betroffen habe, für die Beschwerdeführerin relevant gewesen sein solle.</w:t>
      </w:r>
    </w:p>
    <w:p>
      <w:r>
        <w:rPr>
          <w:b/>
        </w:rPr>
        <w:t>E. 8.3.1</w:t>
      </w:r>
    </w:p>
    <w:p>
      <w:r>
        <w:t>Die Beschwerdeführerin reichte im vorinstanzlichen Verfahren zwei einschlägige Schreiben an die Beschwerdegegnerin aus der Zeit vor dem Ergehen des Urteils A-2607/2009 des Bundesverwaltungsgerichts ein. Im ersten Schreiben weist sie zunächst darauf hin, sie begleiche die konkret betroffenen SDL-Akontorechnungen nur unter ausdrücklichem Vorbehalt und ohne Anerkennung einer Schuldpflicht. Der Vorbehalt beziehe sich auf allfällige Rechts- und Schiedsverfahren oder sonstige Rechtsbehelfe irgendwelcher Art, die das Inkasso überhöhter Rechnungen durch die Beschwerdegegnerin unter dem Titel Systemdienstleistungen feststellten. Anschliessend hält sie fest, es könne ihr dereinst keine freiwillige Bezahlung einer Nichtschuld im Sinne von Art. 63 Abs. 1 OR entgegengehalten werden und sie behalte sich ausdrücklich ein Rückforderungs- bzw. Verrechnungsrecht bezüglich allenfalls zu viel bezahlter Beträge bei künftigen Rechnungen vor. Dieser Vorbehalt gelte auch für die kommenden Monatszahlungen, solange die Frage der Netznutzungsentgelte nicht definitiv geregelt sei. Im zweiten Schreiben bekräftigt sie den Vorbehalt des ersten Schreibens und erhebt einen weiteren Vorbehalt hinsichtlich der rückwirkenden Erhöhung des zu übernehmenden Anteils an den SDL-Kosten.</w:t>
      </w:r>
    </w:p>
    <w:p>
      <w:r>
        <w:rPr>
          <w:b/>
        </w:rPr>
        <w:t>E. 8.3.2</w:t>
      </w:r>
    </w:p>
    <w:p>
      <w:r>
        <w:t>Aus diesen Schreiben geht nicht hervor, dass die Beschwerdegegnerin ihr bezahlte SDL-Akontobeträge ohne besonderen Hinweis zurückzuerstatten habe, wenn in einem Verfahren festgestellt werden sollte, sie seien zu Unrecht entrichtet worden. Vielmehr legen sie nahe, die Beschwerdeführerin werde die entsprechenden Beträge in einem solchen Fall ausdrücklich zurückfordern oder sie von künftigen Rechnungsbeträgen in Abzug bringen. Die Schreiben lassen somit sowohl offen, ob die Beschwerdegegnerin solche Beträge überhaupt zurückzahlen müsste - oder die Beschwerdeführerin sie stattdessen verrechnen würde -, als auch, wann die Rückzahlung gegebenenfalls zu erfolgen hätte. Sie können daher nicht dahingehend interpretiert werden, die Beschwerdeführerin verlange die Rückerstattung solcher Beträge zu einem bestimmten Zeitpunkt bzw. an einem bestimmten Tag. Mangels einer entsprechenden Willensäusserung können die Vorbehaltsschreiben von vornherein nicht als Grundlage für eine Verfalltagsvereinbarung herangezogen werden, wie sie die Beschwerdeführerin in der Beschwerde geltend macht. Ebenso wenig musste die Beschwerdegegnerin aufgrund dieser Schreiben nach Treu und Glauben davon ausgehen, mit dem Urteil A-2607/2009 des Bundesverwaltungsgerichts sei sie automatisch und ohne Mahnung der Beschwerdeführerin in Verzug geraten. Deren Vorbringen erweist sich demnach bereits aus diesen Gründen als unzutreffend, weshalb nicht weiter darauf eingegangen zu werden braucht.</w:t>
      </w:r>
    </w:p>
    <w:p>
      <w:r>
        <w:rPr>
          <w:b/>
        </w:rPr>
        <w:t>E. 8.3.3</w:t>
      </w:r>
    </w:p>
    <w:p>
      <w:r>
        <w:t>Damit bleibt es beim Zeitpunkt, den die Vorinstanz in der angefochtenen Verfügung für den Verzugseintritt als massgeblich erachtete, d.h. beim 28. Dezember 2010, ist doch, wie erwähnt (vgl. E. 1.3.2), unbestritten, dass die Beschwerdegegnerin ab diesem Zeitpunkt einen Verzugszins von 5 % zu entrichten hatte. Zu prüfen bleibt, ob die Beschwerdeführerin bis zu diesem Zeitpunkt einen Anspruch auf Bereicherungszins hat. Bereicherungszins</w:t>
      </w:r>
    </w:p>
    <w:p>
      <w:r>
        <w:rPr>
          <w:b/>
        </w:rPr>
        <w:t>E. 9.1</w:t>
      </w:r>
    </w:p>
    <w:p>
      <w:r>
        <w:t>Die Beschwerdeführerin bringt vor, gemäss der stromversorgungsrechtlichen Regelung dürfe die Beschwerdegegnerin das betriebsnotwendige Vermögen mit einem kalkulatorischen Zinssatz, der seit dem 1. März 2013 dem durchschnittlichen Kapitalkostensatz (Weighted Average Cost of Capital [WACC]; Art. 13 Abs. 3 Bst. b StromVV) entspreche, verzinsen und diese Zinsen als anrechenbare Kapitalkosten über den Netznutzungstarif den Endverbrauchern anlasten. Aus den Geschäftsberichten der Beschwerdegegnerin gehe hervor, dass sie dies in den Jahren 2009 und 2010 getan habe, und zwar jeweils mit einem kalkulatorischen Zinssatz von 4,55 %. Sie habe somit auf den SDL-Akontozahlungen für das Tarifjahr 2010 einen Zins gezogen, der nach den Regeln des Bereicherungsrechts Bestandteil der Bereicherungsforderung bilde und an sie herauszugeben sei. Daran änderten die Einwände der Vorinstanz und der Beschwerdegegnerin nichts. Insbesondere hätten die Akontozahlungen dieser direkt Kapital zugeführt und deren betriebsnotwendiges Vermögen bzw. deren Nettoumlaufvermögen (NUV) erhöht; wie sie intern verbucht und ob sie zur Begleichung laufender Rechnungen verwendet worden seien, spiele keine Rolle. Aus einem Schreiben der Beschwerdegegnerin vom 9. Februar 2011 gehe im Übrigen hervor, dass die Vorinstanz ursprünglich eine WACC-Verzinsung der gesamten Akontozahlungen anerkannt habe. Sollte für die Verzinsung nicht auf den WACC abzustellen sein, habe ihr die Beschwerdegegnerin zumindest den Zins zu bezahlen, den sie dadurch eingespart habe, dass sie auf dem Markt nicht Kapital in der Höhe der Akontozahlungen habe aufnehmen müssen. Den massgeblichen Zinssatz bzw. die Höhe der in diesem Sinne eingesparten Finanzierungskosten habe das Bundesverwaltungsgericht gemäss der im Beschwerdeverfahren geltenden Untersuchungsmaxime von Amtes wegen zu ermitteln. Sollte es zum Schluss kommen, es obliege ihr in dieser Hinsicht eine Mitwirkungspflicht, sei sie bereit, den Beweis dafür anzutreten, dass der Beschwerdegegnerin Finanzierungskosten mindestens in der Höhe des beantragten Bereicherungszinses entstanden wären, wenn sie im Frühjahr 2009 und dann wieder Ende 2009 innert kürzester Zeit die von ihr und weiteren grösseren Kraftwerkbetreiberinnen geleisteten Beträge auf dem Kapitalmarkt hätte beschaffen müssen.</w:t>
      </w:r>
    </w:p>
    <w:p>
      <w:r>
        <w:rPr>
          <w:b/>
        </w:rPr>
        <w:t>E. 9.2</w:t>
      </w:r>
    </w:p>
    <w:p>
      <w:r>
        <w:t>Die Beschwerdegegnerin macht geltend, die von der Beschwerdeführerin geleisteten SDL-Akontozahlungen hätten nicht zu einer Erhöhung ihres betriebsnotwendigen Vermögens geführt. Dessen Verzinsung mit dem WACC begründe daher keinen bereicherungsrechtlichen Anspruch der Beschwerdeführerin. Dies gälte hinsichtlich des Nettoumlaufvermögens (NUV) selbst dann, wenn die flüssigen Mittel aus den Akontozahlungen nicht umgehend verwendet, sondern auf einem Bankkonto gehalten worden wären, da sie dieses Vermögen nicht nach der bilanziellen, sondern nach der von der Vorinstanz angeordneten Umsatzmethode berechne. Auch auf den weiteren Bestandteilen des betriebsnotwendigen Vermögens habe sie wegen der Akontozahlungen keine höheren kalkulatorischen Kapitalkosten geltend machen können. Das Anlagevermögen habe sich durch diese Zahlungen nicht verändert; die Deckungsdifferenzen seien ebenfalls nicht betroffen gewesen, da die Tarifeinnahmen zur Deckung der laufenden Kosten benötigt worden seien. Die Beschwerdeführerin übersehe, dass zwischen dem betriebsnotwendigen Vermögen, welches mit dem WACC verzinst werde, und jenem, das in ihren Büchern ausgewiesen sei, unterschieden werden müsse.</w:t>
      </w:r>
    </w:p>
    <w:p>
      <w:r>
        <w:rPr>
          <w:b/>
        </w:rPr>
        <w:t>E. 9.3</w:t>
      </w:r>
    </w:p>
    <w:p>
      <w:r>
        <w:t>Die Vorinstanz bringt vor, beim Betrag, der sich durch die Verzinsung der für den Betrieb des Übertragungsnetzes notwendigen Vermögenswerte mit dem WACC ergebe, handle es sich nicht um eine ungerechtfertigte Bereicherung, welche die Beschwerdegegnerin der Beschwerdeführerin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Beschwerdegegnerin hätte im Übrigen selbst dann einen Verzinsungsanspruch gehabt, wenn die Beschwerdeführerin keine Akontozahlungen geleistet hätte, da sie berechtigt gewesen wäre, die dadurch entstehende Unterdeckung mit dem WACC zu verzinsen. Dass sie ursprünglich eine WACC-Verzinsung der SDL-Akontozahlungen anerkannt habe, treffe im Übrigen nicht zu.</w:t>
      </w:r>
    </w:p>
    <w:p>
      <w:r>
        <w:rPr>
          <w:b/>
        </w:rPr>
        <w:t>E. 9.4.1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9.4.2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9.5.1).</w:t>
      </w:r>
    </w:p>
    <w:p>
      <w:r>
        <w:rPr>
          <w:b/>
        </w:rPr>
        <w:t>E. 9.4.3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9.5.1</w:t>
      </w:r>
    </w:p>
    <w:p>
      <w:r>
        <w:t>Die Beschwerdeführerin bringt zwar, wie dargelegt (vgl. E. 9.1), vor, die Beschwerdegegnerin habe auf den SDL-Akontozahlungen für das Tarifjahr 2010 einen Zins in der Höhe des WACC gezogen. Ihrer Ansicht nach soll sie dies aber nicht dadurch getan haben, dass sie direkt auf diesen Zahlungen effektiv einen Zins in dieser Höhe erwirtschaftete, sondern indirekt dadurch, dass sie ihr angeblich im Umfang dieser Zahlungen erhöhtes NUV bzw. betriebsnotwendiges Vermögen rechnerisch mit diesem Satz verzinste und den berechneten Zins über den Netznutzungstarif den Endverbrauchern anlastete. Die Beschwerdeführerin erhebt somit keinen Anspruch auf einen Bereicherungszins im vorstehend erwähnten Sinn (vgl. E. 9.4.2). Vielmehr stützt sie den geltend gemachten bereicherungsrechtlichen Anspruch auf Verzinsung der rechtsgrundlos geleisteten SDL-Akontozahlungen mit dem WACC auf den stromversorgungsrechtlichen Mechanismus der Verzinsung des NUV. Dies vermag nicht zu überzeugen.</w:t>
      </w:r>
    </w:p>
    <w:p>
      <w:r>
        <w:rPr>
          <w:b/>
        </w:rPr>
        <w:t>E. 9.5.2</w:t>
      </w:r>
    </w:p>
    <w:p>
      <w:r>
        <w:t>Vorliegend ist unbestritten, dass die Beschwerdegegnerin bei einer Zahlungsverweigerung der Beschwerdeführerin eine Unterdeckung verzeichnet hätte und sie diese gemäss dem stromversorgungsrechtlichen Mechanismus der Verzinsung von Unterdeckungen rechnerisch mit dem WACC hätte verzinsen und den berechneten Zins über den SDL-Tarif den zur Kostentragung Verpflichteten hätte anlasten können. Sie hätte demnach in diesem Sinn hinsichtlich der ausgebliebenen SDL-Akontozahlungen gleich vorgehen können, wie sie es nach Ansicht der Beschwerdeführerin bezüglich der geleisteten Zahlungen tat. Ihre Vermögenssituation ohne diese Zahlungen hätte sich insoweit somit nicht von der Vermögenssituation unterschieden, die gemäss der Beschwerdeführerin mit diesen Zahlungen bestand. Selbst wenn das NUV der Beschwerdegegnerin durch diese Zahlungen tatsächlich um deren Umfang erhöht worden sein sollte - was die Beschwerdeführerin allerdings lediglich mehr oder weniger pauschal behauptet - und diese dadurch indirekt in der erwähnten Weise mit dem WACC verzinst worden sein sollten, wäre demnach eine Bereicherung der Beschwerdegegnerin im vorstehend dargelegten Sinn (vgl. E. 9.4.3) zu verneinen, da gegenüber der Situation ohne diese Zahlungen insoweit keine Vermögensdifferenz bestünde. Das Vorbringen der Beschwerdeführerin erweist sich somit bereits aus diesem Grund als unzutreffend, weshalb nicht weiter darauf eingegangen zu werden braucht.</w:t>
      </w:r>
    </w:p>
    <w:p>
      <w:r>
        <w:rPr>
          <w:b/>
        </w:rPr>
        <w:t>E. 9.5.3</w:t>
      </w:r>
    </w:p>
    <w:p>
      <w:r>
        <w:t>An diesem Ergebnis vermag im Übrigen auch das von der Beschwerdeführerin erwähnte Schreiben der Beschwerdegegnerin vom 9. Februar 2011 nichts zu ändern. Dies schon deshalb, weil sich daraus - wie auch aus der darin zitierten Verfügung der Vorinstanz vom 11. November 2010 betreffend "Kosten und Tarife 2011 für die Netznutzung Netzebene 1 und Systemdienstleistungen" - nicht ergibt, dass die Vorinstanz einen Anspruch der Beschwerdeführerin bzw. der weiteren betroffenen Kraftwerkbetreiberinnen auf einen Bereicherungszins in der Höhe des WACC auf den entrichteten SDL-Akontozahlungen anerkannte.</w:t>
      </w:r>
    </w:p>
    <w:p>
      <w:r>
        <w:rPr>
          <w:b/>
        </w:rPr>
        <w:t>E. 9.6.1</w:t>
      </w:r>
    </w:p>
    <w:p>
      <w:r>
        <w:t>Soweit die Beschwerdeführerin alternativ geltend macht, die Beschwerdegegnerin habe durch ihre SDL-Akontozahlungen die Aufnahme von Kapital auf dem Kapitalmarkt und damit Finanzierungskosten mindestens in der Höhe des von ihr geforderten Bereicherungszinses vermieden, macht sie zwar eine Ersparnisbereicherung der Beschwerdegegnerin geltend (vgl. E. 9.4.3). Auch dieses Vorbringen vermag jedoch nicht zu überzeugen.</w:t>
      </w:r>
    </w:p>
    <w:p>
      <w:r>
        <w:rPr>
          <w:b/>
        </w:rPr>
        <w:t>E. 9.6.2</w:t>
      </w:r>
    </w:p>
    <w:p>
      <w:r>
        <w:t>Wie dargelegt (vgl. E. 9.5.2), hätte die Beschwerdegegnerin bei einer Zahlungsverweigerung der Beschwerdeführerin die daraus resultierende Unterdeckung rechnerisch mit dem WACC verzinsen und den berechneten Zins über den SDL-Tarif den zur Kostentragung Verpflichteten anlasten können. Den Finanzierungskosten, die ihr nach Ansicht der Beschwerdeführerin ohne die SDL-Akontozahlungen für das Tarifjahr 2010 entstanden wären, wären somit die aus dem stromversorgungsrechtlichen Mechanismus der Verzinsung von Unterdeckungen resultierenden Erträge gegenübergestanden. Eine Ersparnisbereicherung in dem Sinn, wie sie die Beschwerdeführerin mehr oder weniger pauschal geltend macht, käme somit nur in Betracht, wenn die angeblichen Finanzierungskosten höher ausgefallen wären als diese Erträge. Solches wird von der Beschwerdeführerin, die sich zu dieser Frage nicht äussert, allerdings weder explizit noch implizit geltend gemacht und entsprechend in keiner Weise substantiiert. Vielmehr begnügt sie sich damit, mit der Formulierung, der Beschwerdegegnerin wären mindestens Finanzierungskosten in der Höhe des geforderten Bereicherungszinses entstanden, vage und implizit die Möglichkeit anzudeuten, dass die angeblichen Finanzierungskosten - in welchem Umfang auch immer - höher ausgefallen wären als die von ihr im vorliegenden Beschwerdeverfahren geltend gemachte Bereicherungsforderung. Es bleibt deshalb völlig offen, ob und, falls ja, inwieweit der Beschwerdegegnerin ihrer Ansicht nach höhere Finanzierungskosten im erwähnten Sinn entstanden wären und gegebenenfalls wieso. Dies genügt angesichts ihrer trotz der grundsätzlichen Geltung der Untersuchungsmaxime im Beschwerdeverfahren vor Bundesverwaltungsgericht (auch) in tatsächlicher Hinsicht bestehenden Begründungspflicht (vgl. Kölz/Häner/Bertschi, Verwaltungsverfahren und Verwaltungsrechtspflege des Bundes, 3. Aufl. 2013, Rz. 144; Moser/ Beusch/Kneubühler, a.a.O., Rz. 3.120) nicht, weshalb insoweit nicht weiter auf ihr Vorbringen eingegangen zu werden braucht.</w:t>
      </w:r>
    </w:p>
    <w:p>
      <w:r>
        <w:rPr>
          <w:b/>
        </w:rPr>
        <w:t>E. 9.6.3</w:t>
      </w:r>
    </w:p>
    <w:p>
      <w:r>
        <w:t>Damit erweist sich auch dieses Vorbringen und entsprechend das Begehren der Beschwerdeführerin, die Vorinstanz habe ihr auf den SDL-Akontozahlungen für das Tarifjahr 2010 ab deren Entrichtung bis zum Verzugseintritt einen Bereicherungszins zu leisten, insgesamt als unbegründet. Ihr Eventualbegehren ist daher abzuweisen. Neuverlegung Verfahrenskosten (Rechtsbegehren 2)</w:t>
      </w:r>
    </w:p>
    <w:p>
      <w:r>
        <w:rPr>
          <w:b/>
        </w:rPr>
        <w:t>E. 10.1</w:t>
      </w:r>
    </w:p>
    <w:p>
      <w:r>
        <w:t>Wie erwähnt (vgl. Bst. G), beantragt die Beschwerdeführerin, es seien die Kosten des vorinstanzlichen Verfahrens neu (vollumfänglich) der Beschwerdegegnerin aufzuerlegen (vgl. Rechtsbegehren 2). Zwar begründet sie dieses Begehren nicht; es ist jedoch davon auszugehen, sie erachte die Beschwerdegegnerin bei einer Gutheissung des Rechtsbegehrens 1 als im vorinstanzlichen Verfahren vollumfänglich - statt bloss teilweise - unterliegend.</w:t>
      </w:r>
    </w:p>
    <w:p>
      <w:r>
        <w:rPr>
          <w:b/>
        </w:rPr>
        <w:t>E. 10.2</w:t>
      </w:r>
    </w:p>
    <w:p>
      <w:r>
        <w:t>Wie dargelegt, ist das Rechtsbegehren 1 abzuweisen. Gleiches gilt für das Eventualbegehren. Soweit die Verfügung der Vorinstanz durch diese Begehren angefochten wird, ist sie demnach zu bestätigen. Es besteht entsprechend kein Anlass, die Kosten des vorinstanzlichen Verfahrens im Sinne der Beschwerdeführerin neu zu verlegen. Deren Begehren ist daher abzuweisen. Fazit</w:t>
      </w:r>
    </w:p>
    <w:p>
      <w:r>
        <w:rPr>
          <w:b/>
        </w:rPr>
        <w:t>E. 11</w:t>
      </w:r>
    </w:p>
    <w:p>
      <w:r>
        <w:t>Damit erweisen sich die Rechtsbegehren der Beschwerdeführerin als unbegründet. Gleiches gilt für deren Eventualbegehren. Die Beschwerde ist daher abzuweisen, soweit darauf eingetreten werden kann. Kosten und Entschädigung</w:t>
      </w:r>
    </w:p>
    <w:p>
      <w:r>
        <w:rPr>
          <w:b/>
        </w:rPr>
        <w:t>E. 12.1</w:t>
      </w:r>
    </w:p>
    <w:p>
      <w:r>
        <w:t>Bei diesem Verfahrensausgang gilt die Beschwerdeführerin als unterliegend. Sie hat deshalb die auf Fr. 1'500.- festzusetzenden Verfahrenskosten (vgl. Art. 1 ff. des Reglements vom 21. Februar 2008 über die Kosten und Entschädigungen vor dem Bundesverwaltungsgericht [VGKE, SR 173.320.2]) zu tragen (vgl. Art. 63 Abs. 1 VwVG; Art. 6a VGKE). Der einbezahlte Kostenvorschuss wird zur Bezahlung der Verfahrenskosten verwendet.</w:t>
      </w:r>
    </w:p>
    <w:p>
      <w:r>
        <w:rPr>
          <w:b/>
        </w:rPr>
        <w:t>E. 12.2</w:t>
      </w:r>
    </w:p>
    <w:p>
      <w:r>
        <w:t>Die obsiegende Beschwerdegegnerin hat ihren internen Rechtsdienst mit der Interessenwahrung betraut und ist nicht durch externe Anwälte vertreten, weshalb ihr keine Parteientschädigung zusteht (Art. 8 ff. VGKE, insb. Art. 9 Abs. 2 VGKE). Die Vorinstanz hat als Bundesbehörde ebenfalls keinen Anspruch auf eine Parteientschädigung (vgl. Art. 7 Abs. 3 VGKE). Gleiches gilt für die unterliegende Beschwerdeführerin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