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A-1783/2021 vom 13. Juni 2022</w:t>
      </w:r>
    </w:p>
    <w:p>
      <w:r>
        <w:t>Bundesverwaltungsgericht, 2022-06-13, FR</w:t>
      </w:r>
    </w:p>
    <w:p>
      <w:r>
        <w:rPr>
          <w:b/>
        </w:rPr>
        <w:t xml:space="preserve">Quelle: </w:t>
      </w:r>
      <w:r>
        <w:t>https://mcp.opencaselaw.ch/entscheid/bvger_A-1783_2021</w:t>
      </w:r>
    </w:p>
    <w:p>
      <w:r>
        <w:t>FR: TAF A-1783/2021 du 13 juin 2022</w:t>
      </w:r>
    </w:p>
    <w:p>
      <w:r>
        <w:t>IT: TAF A-1783/2021 del 13 giugno 2022</w:t>
      </w:r>
    </w:p>
    <w:p>
      <w:pPr>
        <w:pStyle w:val="Heading2"/>
      </w:pPr>
      <w:r>
        <w:t>Regeste</w:t>
      </w:r>
    </w:p>
    <w:p>
      <w:r>
        <w:t>Assistance administrative</w:t>
      </w:r>
    </w:p>
    <w:p>
      <w:pPr>
        <w:pStyle w:val="Heading2"/>
      </w:pPr>
      <w:r>
        <w:t>Erwägungen</w:t>
      </w:r>
    </w:p>
    <w:p>
      <w:r>
        <w:rPr>
          <w:b/>
        </w:rPr>
        <w:t>E. 5.1</w:t>
      </w:r>
    </w:p>
    <w:p>
      <w:r>
        <w:t>Pour ce qui est des conditions de fond, le recourant allègue une violation du principe de la pertinence vraisemblable à plusieurs égards.</w:t>
      </w:r>
    </w:p>
    <w:p>
      <w:r>
        <w:rPr>
          <w:b/>
        </w:rPr>
        <w:t>E. 5.1.1.1</w:t>
      </w:r>
    </w:p>
    <w:p>
      <w:r>
        <w:t>Le recourant argue en premier lieu que les informations le concernant ne rempliraient pas la condition de la pertinence vraisemblable dès lors qu'il n'aurait pas été fiscalement domicilié en France durant la période visée, mais au (...). Il reproche en particulier à la DGFiP de s'être fondée sur des données statistiques insuffisantes pour déterminer son domicile fiscal. En outre, l'AFC aurait ignoré les arguments et offres de preuves qu'il lui a fournis pour démontrer qu'il était assujetti de manière illimitée aux impôts au (...) durant la période sous contrôle. A l'appui de son grief, le recourant produit notamment une copie de son inscription au registre des français établis hors de France et deux cartes de résidence (...) valables jusqu'au 19 novembre 2013, respectivement jusqu'au 13 janvier 2024 et dont l'adresse indiquée concorderait avec celle figurant sur les documents le concernant fournis par l'UBS à l'AFC. En outre, le code domicile « France » qui lui a été attribué sur la liste Excel annexée à la requête du 11 mai 2016 serait la conséquence d'une erreur de la banque et d'une tenue négligente de ses fichiers. A cela s'ajoute que les listes dont il est question concernent des données récoltées en 2006, respectivement en 2008. Par ailleurs, les critères utilisés par l'UBS pour classifier les comptes et pour leur attribuer un code domicile ne sont pas connus. Le recourant en déduit que cette classification ne pourrait pas constituer à elle seule une présomption fiable d'un assujettissement illimité en France. Il découlerait de ce qui précède que la condition de la pertinence vraisemblable des informations requises ne serait pas remplie dans le cas d'espèce, ceci bien que le recourant figure dans les livres de la banque UBS avec un code domicile français (« 111 »).</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2.10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le recourant fait valoir avoir été domicilié fiscalement durant la période sous contrôle n'a pas à être examinée par la Cour de céans.</w:t>
      </w:r>
    </w:p>
    <w:p>
      <w:r>
        <w:rPr>
          <w:b/>
        </w:rPr>
        <w:t>E. 5.1.2.1</w:t>
      </w:r>
    </w:p>
    <w:p>
      <w:r>
        <w:t>Quant à l'argument du recourant exposant que le code domicile français lui aurait été attribué par erreur, le Tribunal rappelle que dans le cadre d'un recours contre une décision finale de l'AFC, il se limite à vérifier le respect des conditions de l'assistance administrative, sans devoir vérifier matériellement si c'est à juste titre que le code « 111 » a été mentionné au regard du compte UBS du recourant, dès lors que ce dernier ne conteste pas l'existence de cette mention. Le rôle de l'Etat requis, en matière d'assistance administrative, est assez restreint, étant donné qu'il se borne à examiner si les documents requis sont potentiellement propres à être utilisés dans la procédure étrangère. En l'espèce, le recourant se contente d'alléguer une inexactitude du code domicile, n'énonçant aucun élément probant. Il n'y a dès lors pas lieu de s'écarter des informations transmises par la DGFiP et ressortant des listes de la banque UBS. 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les informations requises ne seraient pas vraisemblablement pertinentes quel qu'ait été son domicile fiscal entendu au sens international matériel pour les années 2006 et 2008. Au vu de tout ce qui précède, le grief invoqué par le recourant doit être rejeté.</w:t>
      </w:r>
    </w:p>
    <w:p>
      <w:r>
        <w:rPr>
          <w:b/>
        </w:rPr>
        <w:t>E. 5.1.3.1</w:t>
      </w:r>
    </w:p>
    <w:p>
      <w:r>
        <w:t>Dans sa réplique du 16 août 2021 et ses observations spontanées du 16 mars 2022, le recourant soutient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le recourant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Le recourant invoque l'arrêt du Tribunal fédéral 2C_703/2019 du 16 novembre 2020, selon lequel l'AFC se devrait d'éclaircir cette question.</w:t>
      </w:r>
    </w:p>
    <w:p>
      <w:r>
        <w:rPr>
          <w:b/>
        </w:rPr>
        <w:t>E. 5.1.3.2</w:t>
      </w:r>
    </w:p>
    <w:p>
      <w:r>
        <w:t>Avant tout il sied de relever qu'en tant qu'expertise privée, l'avis de droit produit par le recourant est constitutif d'une simple allégation de partie, dans la mesure où l'expert privé ne peut pas être considéré comme indépendant et impartial, en raison notamment de sa relation contractuelle avec l'intéressé,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le recourant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 du TF 2C_662/2021, 2C_663/2021 du 18 mars 2022 consid. 5.4 à 5.6). La procédure d'assistance ne tranche pas matériellement l'affaire ; il appartient à chaque Etat d'interpréter sa propre législation et de contrôler la manière dont celle-ci est appliquée (cf. arrêt du TF 2C_ 2C_1162/2016 du 4 octobre 2017 consid. 6.4 ; arrêt du TAF A-1944/2017 du 8 août 2018 consid. 3.3.6.2 ; voir aussi arrêts du TAF A-4669/2016 du 8 décembre 2017 consid. 2.7,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 recourant de faire valoir ses moyens procéduraux devant les autorités compétentes de l'Etat requérant.</w:t>
      </w:r>
    </w:p>
    <w:p>
      <w:r>
        <w:rPr>
          <w:b/>
        </w:rPr>
        <w:t>E. 5.1.3.3</w:t>
      </w:r>
    </w:p>
    <w:p>
      <w:r>
        <w:t>Par ailleurs, l'arrêt du TF 2C_703/2019 du 16 novembre 2020 invoqué par le recourant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 recourant n'a jamais affirmé que le délai pour le dépôt de la déclaration d'impôts aurait été encore ouvert. La solution de cet arrêt n'est donc pas transposable au cas d'espèce.</w:t>
      </w:r>
    </w:p>
    <w:p>
      <w:r>
        <w:rPr>
          <w:b/>
        </w:rPr>
        <w:t>E. 5.1.3.4</w:t>
      </w:r>
    </w:p>
    <w:p>
      <w:r>
        <w:t>Au vu de ces éléments, le Tribunal ne constate pas de violation de la norme de la pertinence vraisemblable en lien avec la prescription décennale française. Le grief du recourant à cet égard doit être rejeté.</w:t>
      </w:r>
    </w:p>
    <w:p>
      <w:r>
        <w:rPr>
          <w:b/>
        </w:rPr>
        <w:t>E. 5.2.1</w:t>
      </w:r>
    </w:p>
    <w:p>
      <w:r>
        <w:t>Le recourant reproche à l'autorité inférieure d'avoir procédé à un échange spontané d'informations. Il considère que l'AFC a interprété de manière extensive la demande d'assistance administrative, en constatant que le code domicile français « 111 » est fiable et qu'il s'agit d'un critère suffisant pour établir l'existence d'un assujettissement du recourant en France. Alors qu'il reviendrait à l'autorité requérante d'alléguer les éléments factuels permettant d'inférer une résidence fiscale française au contribuable dont il est question, celle-ci ne pourrait pas se contenter de la simple indication du code domicile « France ». Dans la mesure où l'autorité inférieure prévoirait quand-même de transmettre à la DGFiP des renseignements sur le recourant, dont il n'aurait pas été démontré à satisfaction qu'il aurait fiscalement résidé en France durant la période sous contrôle, cette dernière se livrerait à une entraide spontanée prohibée.</w:t>
      </w:r>
    </w:p>
    <w:p>
      <w:r>
        <w:rPr>
          <w:b/>
        </w:rPr>
        <w:t>E. 5.2.2</w:t>
      </w:r>
    </w:p>
    <w:p>
      <w:r>
        <w:t>En l'espèce, le recourant se méprend sur le sens à donner à l'entraide spontanée prohibée. La Cour de céans rappelle que par assistance administrative spontanée, il faut entendre la transmission d'informations qui n'ont pas été requises par l'autorité étrangère (cf. consid. 2.6 supra). Or, l'argumentation du recourant se fonde uniquement sur l'absence de critère suffisant d'assujettissement en France. Ce dernier ne saurait être suivi lorsqu'il allègue que l'autorité requérante n'aurait pas démontré qu'il était résident fiscal français pendant la période sous contrôle. A ce propos, il sied de renvoyer au consid. 5.1.1 ci-avant, dans lequel la Cour de céans constate, au vu de la jurisprudence du Tribunal fédéral (ATF 146 II 150), que les codes de domicile figurant sur les listes B et C constituent des éléments de rattachement permettant à l'autorité requise de considérer la requête comme vraisemblablement pertinente. Au surplus, le Tribunal rappelle que le grief de l'échange spontané de renseignements s'examine sous l'angle de la pertinence vraisemblable. In casu, l'autorité requérante a expressément demandé à obtenir des renseignements sur les titulaires et ayants droit économique des comptes listés, ou toutes les autres personnes venant aux droit et obligations de ces derniers (cf. Faits A.c supra). Or, il est indéniable que le recourant est titulaire et/ou ayant droit économique de comptes bancaires se trouvant sur la liste annexée à la demande de la DGFiP. Le Tribunal retient ainsi que les informations relatives au recourant s'inscrivent parfaitement dans le but de la demande d'assistance administrative française. Il ne peut pas être reproché à l'AFC de procéder à un quelconque échange spontané d'informations. Dans ces conditions, le grief du recourant doit être rejeté.</w:t>
      </w:r>
    </w:p>
    <w:p>
      <w:r>
        <w:rPr>
          <w:b/>
        </w:rPr>
        <w:t>E. 5.3.1</w:t>
      </w:r>
    </w:p>
    <w:p>
      <w:r>
        <w:t>Le recourant reproche encore à l'autorité inférieure d'accéder à une demande d'assistance basée sur des données obtenues par des actes punissables au regard du droit suisse, en violation du principe de la bonne foi en lien avec l'art. 7 let. c LAAF.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5.3.3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5.3.3.1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5.3.4</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5.4.1</w:t>
      </w:r>
    </w:p>
    <w:p>
      <w:r>
        <w:t>Le recourant avance encore que le principe de spécialité ne serait pas respecté dans le cas d'espèce. A l'appui de son grief, il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des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Décisions finales de l'AFC, ch. 8.2 ; entre autres arrêts du TAF A-1031/2021 du 26 octobre 2021 consid. 5.3.2 et A-5455/2020 du 12 mai 2022 consid. 5.3.2), et de constater - à tout le moins de manière implicite - que l'assurance fournie par la DGFiP est suffisante.</w:t>
      </w:r>
    </w:p>
    <w:p>
      <w:r>
        <w:rPr>
          <w:b/>
        </w:rPr>
        <w:t>E. 5.5</w:t>
      </w:r>
    </w:p>
    <w:p>
      <w:r>
        <w:t>Le recourant se plaint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le recourant n'est donc pas pertinente et il convient de rejeter le grief de ce dernier.</w:t>
      </w:r>
    </w:p>
    <w:p>
      <w:r>
        <w:rPr>
          <w:b/>
        </w:rPr>
        <w:t>E. 5.6.1</w:t>
      </w:r>
    </w:p>
    <w:p>
      <w:r>
        <w:t>Enfin, le recourant se plaint de ne pas avoir obtenu une traduction des documents rédigés en langue allemande et anglaise. En substance, il relève que la présence d'annexes dans ces deux langues serait une source d'incertitude sur le contenu des pièces en question et sur le sens exact à leur donner. Il en découlerait une atteinte aux principes d'exclusivité et d'unité de la procédure.</w:t>
      </w:r>
    </w:p>
    <w:p>
      <w:r>
        <w:rPr>
          <w:b/>
        </w:rPr>
        <w:t>E. 5.6.2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le recourant ou son mandataire ne maîtrisent pas ou de manière seulement imparfaite (arrêt du TAF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le recourant est assisté d'un mandataire professionnel, qui plus est avocat, dont on peut attendre qu'il maîtrise de manière suffisante les langues allemande et anglaise. En effet, il convient de noter que l'avocat du recourant, Me Nicolas Candaux, signale sur le site web de son étude qu'il exerce tant en français qu'en allemand et en anglais. Il est dès lors peu plausible de soutenir, comme ce dernier l'a fait, que son client n'aurait pas été en mesure, pour des raisons linguistiques, d'appréhender la portée des documents au dossier parce qu'ils n'auraient pas été traduits en français. Certes, il s'agit ici de compétences linguistiques du mandataire du recourant et pas des compétences propres de ce dernier. Toutefois, compte tenu de l'importance relative des pièces rédigées en allemand et en anglais pour le sort de la présente cause, l'autorité inférieure pouvait largement admettre que globalement le recourant disposait, grâce aussi aux compétences de son mandataire, des éléments nécessaires à sa complète détermination et que l'absence de traduction des pièces rédigées en anglais et en allemand ne l'a pas empêché de faire valoir ses droits sans entrave. Pour les raisons qui précèdent, le grief du recourant en lien avec la traduction des annexes en question doit être rejeté.</w:t>
      </w:r>
    </w:p>
    <w:p>
      <w:r>
        <w:rPr>
          <w:b/>
        </w:rPr>
        <w:t>E. 6</w:t>
      </w:r>
    </w:p>
    <w:p>
      <w:r>
        <w:t>Le recourant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la conclusion du recourant tendant à la suspension de la procédure jusqu'à droit connu quant à la procédure devant le Tribunal pénal fédéral (ci-avant, Faits, let. J) parait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