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A-1758/2006 vom 18. Februar 2008</w:t>
      </w:r>
    </w:p>
    <w:p>
      <w:r>
        <w:t>Bundesverwaltungsgericht, 2008-02-18, FR</w:t>
      </w:r>
    </w:p>
    <w:p>
      <w:r>
        <w:rPr>
          <w:b/>
        </w:rPr>
        <w:t xml:space="preserve">Quelle: </w:t>
      </w:r>
      <w:r>
        <w:t>https://mcp.opencaselaw.ch/entscheid/bvger_A-1758_2006</w:t>
      </w:r>
    </w:p>
    <w:p>
      <w:r>
        <w:t>FR: TAF A-1758/2006 du 18 février 2008</w:t>
      </w:r>
    </w:p>
    <w:p>
      <w:r>
        <w:t>IT: TAF A-1758/2006 del 18 febbraio 2008</w:t>
      </w:r>
    </w:p>
    <w:p>
      <w:pPr>
        <w:pStyle w:val="Heading2"/>
      </w:pPr>
      <w:r>
        <w:t>Regeste</w:t>
      </w:r>
    </w:p>
    <w:p>
      <w:r>
        <w:t>Douanes</w:t>
      </w:r>
    </w:p>
    <w:p>
      <w:pPr>
        <w:pStyle w:val="Heading2"/>
      </w:pPr>
      <w:r>
        <w:t>Erwägungen</w:t>
      </w:r>
    </w:p>
    <w:p>
      <w:r>
        <w:rPr>
          <w:b/>
        </w:rPr>
        <w:t>E. 4.1</w:t>
      </w:r>
    </w:p>
    <w:p>
      <w:r>
        <w:t>Une contravention douanière est commise par celui qui obtient l'admission en franchise ou une réduction de droits pour des marchandises qui ne remplissent pas les conditions prescrites (art. 74 ch. 9 aLD). A teneur de l'art. 80 al. 1 aLD, le titre deuxième de la DPA est applicable aux infractions douanières.</w:t>
      </w:r>
    </w:p>
    <w:p>
      <w:r>
        <w:rPr>
          <w:b/>
        </w:rPr>
        <w:t>E. 4.2</w:t>
      </w:r>
    </w:p>
    <w:p>
      <w:r>
        <w:t>Aux termes de l'art. 12 al. 1er DPA, lorsque, à la suite d'une infraction à la législation administrative fédérale, c'est à tort qu'une contribution n'est pas perçue, la contribution non réclamée, ainsi que les intérêts, seront perçus après coup ou restitués, alors même qu'aucune personne déterminée n'est punissable. L'art. 12 al. 2 DPA précise qu'est assujetti à la prestation celui qui a obtenu la jouissance de l'avantage illicite, en particulier celui qui est tenu au paiement de la contribution (cf. art. 9 et 13 aLD) ou celui qui a reçu l'allocation ou le subside. Pour que l'art. 12 al. 2 DPA trouve application, il faut d'abord qu'il y ait eu la réalisation objective d'une infraction pénale (ATF 129 II 160 consid. 3.1; arrêt du Tribunal fédéral 2A.1/2004 du 31 mars 2004 consid. 2.1; voir également l'arrêt du Tribunal administratif fédéral A-1716/2006 du 7 février 2008 consid. 2.4; voir aussi Jurisprudence des autorités administratives de la Confédération [JAAC] 65.61 consid. 3d/bb et Archives de droit fiscal suisse [Archives] vol. 68 p. 439 ss consid. 2 ; Kurt Hauri, Verwaltungsstrafrecht (VStrR), Motive - Doktrin - Rechtsprechung, Berne 1998, p. 36 ch. 4a). Si tel n'est pas le cas, l'art. 12 al. 2 DPA ne peut pas entrer en ligne de compte. L'application de cette disposition ne dépend en revanche pas d'une responsabilité pénale, ni même d'une faute, ni encore de l'introduction d'une procédure pénale (ATF 129 II 160 consid. 3.2; arrêt du Tribunal fédéral 2A.1/2004 du 31 mars 2004 consid. 2.1; voir aussi l'arrêt du Tribunal administratif fédéral A-1728/2006 du 17 décembre 2007 consid. 2.2.2 et les références citées). L'avantage illicite de l'art. 12 al. 2 DPA consiste en un avantage patrimonial qui est engendré par le non-paiement des contributions dues. Il peut consister non seulement en une augmentation des actifs, mais aussi en une diminution du passif, ce qui est normalement le cas lorsqu'une contribution due n'est pas perçue (ATF 110 Ib 310 consid. 2c; arrêt du Tribunal fédéral A.490/1984 du 20 décembre 1985 consid. 3c).</w:t>
      </w:r>
    </w:p>
    <w:p>
      <w:r>
        <w:rPr>
          <w:b/>
        </w:rPr>
        <w:t>E. 4.3</w:t>
      </w:r>
    </w:p>
    <w:p>
      <w:r>
        <w:t>Conformément à l'art. 13 aLD, les droits de douane sont dus par les personnes assujetties au contrôle douanier et par celles désignées à l'art. 9 aLD, ainsi que par les personnes pour le compte desquelles la marchandise est importée ou exportée. Elles sont solidairement responsables des sommes dues. Selon l'art. 9 al. 1 aLD, sont assujetties au contrôle douanier les personnes qui transportent des marchandises à travers la frontière, ainsi que leurs mandants.</w:t>
      </w:r>
    </w:p>
    <w:p>
      <w:r>
        <w:rPr>
          <w:b/>
        </w:rPr>
        <w:t>E. 5</w:t>
      </w:r>
    </w:p>
    <w:p>
      <w:r>
        <w:t>En l'espèce, la recourante déplore que ses importations de viande de volaille aient été considérées par l'autorité douanière comme ayant été effectuées hors contingent, puisqu'elle a procédé à une entente sur l'utilisation de parts de contingent tarifaire avec un détenteur de parts. Elle regrette également le taux hors contingent tarifaire appliqué aux importations précitées, le trouvant disproportionné en raison de la négligence de gestion qu'elle a commise. Le Tribunal administratif fédéral ne peut cependant abonder en faveur de la recourante.</w:t>
      </w:r>
    </w:p>
    <w:p>
      <w:r>
        <w:rPr>
          <w:b/>
        </w:rPr>
        <w:t>E. 5.1</w:t>
      </w:r>
    </w:p>
    <w:p>
      <w:r>
        <w:t>La recourante ne pouvait ignorer que selon le droit actuel, un transfert de parts de contingents tarifaires n'est autorisé que sous certaines conditions (cf. consid. 3.4). Le détenteur d'une part de contingent peut ainsi convenir avec un autre ayant droit que les importations de ce dernier soient imputées sur la part de contingent du détenteur, une telle entente devant cependant être annoncée par écrit à l'OFAG par ce dernier, avant les formalités d'importation. Le fait que la recourante ait produit un formulaire d'annonce au sens de l'art. 14 al. 2 OIAgr ne change rien à l'appréciation juridique de ce litige, cette annonce ayant été signée postérieurement aux formalités d'importation par la société Y._______ SA à A._______. Au vu du dossier en mains du Tribunal de céans, l'annonce précitée a en effet été signée par une société détentrice de parts de contingents tarifaires au moment des importations litigieuses, signature qui est intervenue le 23 juin 2005. L'annonce a été présentée le même jour à l'OFAG. En tenant compte des formalités d'importation qui ont été effectuées du 13 avril au 31 mai 2005, l'annonce faite par la recourante en date du 23 juin 2005 est dès lors tardive et ne peut, au regard de l'art. 14 al. 2 OIAgr, être prise en compte afin qu'une entente sur l'utilisation de parts de contingent tarifaire puisse être valable. Par ailleurs, même si la recourante était de bonne foi quant à l'information ou l'avertissement reçu en juin 2005 du collaborateur de l'OFAG lors du contrôle effectué pour l'année 2005, cela ne change rien au fait qu'elle devait effectuer l'annonce de l'entente sur l'utilisation des parts de contingent tarifaire avant les importations en cause et non après. Quant à cet état de fait, la recourante ne peut s'en prendre qu'à elle-même.</w:t>
      </w:r>
    </w:p>
    <w:p>
      <w:r>
        <w:rPr>
          <w:b/>
        </w:rPr>
        <w:t>E. 5.2</w:t>
      </w:r>
    </w:p>
    <w:p>
      <w:r>
        <w:t>En outre, la recourante estime la créance fiscale disproportionnée par rapport à la négligence commise. Au regard du principe de la proportionnalité, force est de constater qu'en l'occurrence, les autorités douanières se sont limitées à solliciter le paiement de l'avantage illicite, soit la différence entre le TCT et le THCT effectivement dû. De plus, le Tribunal administratif fédéral rappelle que ce principe ne peut être allégué dans le cadre du système légal - et confirmé par une jurisprudence constante - des contingents tarifaires (voir à ce sujet le consid. 3.2, voir également l'arrêt du Tribunal fédéral 2A.541/2005 du 4 avril 2006 consid. 3.3 confirmant la décision de la Commission de recours CRD 2004-107 du 8 juillet 2005 consid. 5b).</w:t>
      </w:r>
    </w:p>
    <w:p>
      <w:r>
        <w:rPr>
          <w:b/>
        </w:rPr>
        <w:t>E. 5.3</w:t>
      </w:r>
    </w:p>
    <w:p>
      <w:r>
        <w:t>Par conséquent, la recourante doit répondre des importations litigieuses. En sa qualité de mandante, elle est dès lors soumise au paiement des redevances d'entrée dues au sens des art. 9 et 13 aLD. La recourante n'a en outre émis aucune critique quant au calcul du montant des droits réclamés. Elle a bénéficié de droits de douane avantageux et donc d'un avantage illicite dans la mesure où la marchandise a été importée à un taux inférieur, à savoir le TCT, au taux qui aurait dû s'appliquer aux importations en cause, à savoir le THCT. Les autorités compétentes sont donc fondées à lui réclamer après coup la contribution due sur la base de l'art. 12 al. 1 DPA.</w:t>
      </w:r>
    </w:p>
    <w:p>
      <w:r>
        <w:rPr>
          <w:b/>
        </w:rPr>
        <w:t>E. 6</w:t>
      </w:r>
    </w:p>
    <w:p>
      <w:r>
        <w:t>Les considérations qui précèdent conduisent au rejet du recours. Vu l'issue de la cause, en application de l'art. 63 al. 1 PA et de l'art. 1 ss du Règlement du 11 décembre 2006 concernant les frais, dépens et indemnités fixés par le Tribunal administratif fédéral (FITAF, RS 173.320.2), les frais de procédure, par Fr. 600.--, comprenant l'émolument judiciaire et les débours, sont mis à la charge de la recourante qui succombe. L'autorité de recours impute, dans le dispositif, l'avance sur les frais de procédure correspondants. Une indemnité à titre de dépens n'est pas allouée à la recourante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