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A-1753/2006 vom 23. Juni 2008</w:t>
      </w:r>
    </w:p>
    <w:p>
      <w:r>
        <w:t>Bundesverwaltungsgericht, 2008-06-23, DE</w:t>
      </w:r>
    </w:p>
    <w:p>
      <w:r>
        <w:rPr>
          <w:b/>
        </w:rPr>
        <w:t xml:space="preserve">Quelle: </w:t>
      </w:r>
      <w:r>
        <w:t>https://mcp.opencaselaw.ch/entscheid/bvger_A-1753_2006</w:t>
      </w:r>
    </w:p>
    <w:p>
      <w:r>
        <w:t>FR: TAF A-1753/2006 du 23 juin 2008</w:t>
      </w:r>
    </w:p>
    <w:p>
      <w:r>
        <w:t>IT: TAF A-1753/2006 del 23 giugno 2008</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(Art. 109 Abs. 1 Bst. c aZG). Das Bundesverwaltungsgericht übernimmt, sofern es zuständig ist, die zu diesem Zeitpunkt bei der ZRK hängigen Rechtsmittel. Die Beurteilung erfolgt nach neuem Verfahrensrecht (Art. 53 Abs. 2 des Bundesgesetzes vom 17. Juni 2005 über das Bundesverwaltungsgericht [Verwaltungsgerichtsgesetz, VGG, SR 173.32]). Soweit das VGG nichts anderes bestimmt, richtet sich gemäss dessen Art. 37 das Verfahren nach dem Bundesgesetz vom 20. Dezember 1968 über das Verwaltungsverfahren (VwVG, SR 172.021).</w:t>
      </w:r>
    </w:p>
    <w:p>
      <w:r>
        <w:rPr>
          <w:b/>
        </w:rPr>
        <w:t>E. 1.2</w:t>
      </w:r>
    </w:p>
    <w:p>
      <w:r>
        <w:t>Beschwerden an das Bundesverwaltungsgericht sind zulässig gegen Verfügungen im Sinne von Art. 5 VwVG (Art. 31 VGG). Entscheide der OZD betreffend die Tarifierung unterliegen der Beschwerde an das Bundesverwaltungsgericht (Art. 33 Bst. d VGG in Verbindung mit Art. 109 Abs. 1 Bst. c aZG). Das Bundesverwaltunsgericht ist vorliegendenfalls sachlich und funktionell zuständig. Auf die frist- und formgerecht eingereichte Beschwerde ist einzutreten.</w:t>
      </w:r>
    </w:p>
    <w:p>
      <w:r>
        <w:rPr>
          <w:b/>
        </w:rPr>
        <w:t>E. 1.3</w:t>
      </w:r>
    </w:p>
    <w:p>
      <w:r>
        <w:t>Der Bundesrat hat auf den 1. Mai 2007 das Zollgesetz vom 18. März 2005 (ZG, SR 631.0) und die dazugehörige Verordnung vom 1. November 2006 (ZV, SR 631.01) in Kraft gesetzt. Zollveranlagungsverfahren, die zu diesem Zeitpunkt hängig waren, werden jedoch nach bisherigem Recht abgeschlossen (Art. 132 Abs. 1 ZG). Der zu beurteilende Sachverhalt betrifft das Jahr 2004, so dass auf den vorliegenden Fall materiell das alte Zollgesetz (aZG) bzw. die alte Zollverordnung vom 10. Juli 1926 (aZV, BS 6 514) Anwendung finden.</w:t>
      </w:r>
    </w:p>
    <w:p>
      <w:r>
        <w:rPr>
          <w:b/>
        </w:rPr>
        <w:t>E. 1.4</w:t>
      </w:r>
    </w:p>
    <w:p>
      <w:r>
        <w:t>Gegenstand des vorliegenden Verfahrens bildet die Tarifierung von Sauerkirsch- und Pfirsichnektaren in Tetrapacks zu 200 und 1000 ml. Bei allen anderen von der Beschwerdeführerin gleichzeitig eingeführten Getränken haben die Zollbehörden entweder die Deklaration der Beschwerdeführerin vorbehaltlos angenommen oder anlässlich der Revision festgestellt, dass deren Deklaration der tatsächlichen Beschaffenheit der Ware entsprach. Weder behauptet noch belegt die Beschwerdeführerin, dass ihre damalige Deklaration falsch gewesen sei. Insofern ist auf ihren - ohnehin unklar - gestellten Antrag, auch die Tarifierung der übrigen Fruchtsäfte zu überprüfen, nicht einzutreten.</w:t>
      </w:r>
    </w:p>
    <w:p>
      <w:r>
        <w:rPr>
          <w:b/>
        </w:rPr>
        <w:t>E. 2.1</w:t>
      </w:r>
    </w:p>
    <w:p>
      <w:r>
        <w:t>Die Gesetzgebung über Zölle und andere Abgaben auf dem grenzüberschreitenden Warenverkehr ist Sache des Bundes (Art. 133 der Bundesverfassung der Schweizerischen Eidgenossenschaft vom 18. April 1999 [BV, SR 101]). Wer die Zollgrenze überschreitet oder Waren über die Zollgrenze befördert, hat die Vorschriften der Zollgesetzgebung zu befolgen (Art. 1 Abs. 1 aZG). Die Zollpflicht umfasst nebst der Befolgung der Vorschriften für den Verkehr über die Grenze (Zollmeldepflicht) die Entrichtung der gesetzlichen Abgaben (Zollzahlungspflicht, Art. 1 Abs. 2 aZG).</w:t>
      </w:r>
    </w:p>
    <w:p>
      <w:r>
        <w:rPr>
          <w:b/>
        </w:rPr>
        <w:t>E. 2.2</w:t>
      </w:r>
    </w:p>
    <w:p>
      <w:r>
        <w:t>Die Ein- und Ausfuhrzölle werden durch den Zolltarif festgesetzt (Art. 21 aZG). Dieser ist in einem separaten Erlass, dem Zolltarifgesetz vom 9. Oktober 1986 (ZTG, SR 632.10), enthalten. Art. 1 ZTG schreibt vor, dass alle Waren, die über die schweizerische Zollgrenze ein- und ausgeführt werden, nach dem Generaltarif zu verzollen sind, welcher in den Anhängen 1 und 2 des ZTG enthalten ist. 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mitsamt seinen Änderungen bei der OZD eingesehen oder im Internet unter www.ezv.admin.ch abgerufen werden. Dasselbe gilt für den Gebrauchstarif (Art. 15 Abs. 2 und Anhänge 1 und 2 ZTG; Fussnote 29 zum ZTG). Trotz fehlender Veröffentlichung in der AS kommt dem Generaltarif Gesetzesrang zu (vgl. statt aller Urteil des Bundesverwaltungsgerichts A-1704/2006 vom 25. Oktober 2007 E. 2.1.2 mit weiteren Hinweisen).</w:t>
      </w:r>
    </w:p>
    <w:p>
      <w:r>
        <w:rPr>
          <w:b/>
        </w:rPr>
        <w:t>E. 2.3</w:t>
      </w:r>
    </w:p>
    <w:p>
      <w:r>
        <w:t>Die Schweiz ist Vertragsstaat des internationalen Übereinkommens vom 14. Juni 1983 über das Harmonisierte System zur Bezeichnung und Codierung der Waren (HS-Übereinkommen, SR 0.632.11). Das HS-Übereinkommen ist für die Schweiz am 1. Januar 1988 in Kraft getreten. Die Vertragsstaaten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Harmonisierten Systems sowie alle Abschnitt-, Kapitel- und Unternummern-Anmerkungen anzuwenden. Sie dürfen den Geltungsbereich der Abschnitte, Kapitel, Nummern oder Unternummern des HS nicht verändern und haben die Nummernfolge des HS einzuhalten (Art. 3 Ziff. 1 Bst. a des HS-Übereinkommens).</w:t>
      </w:r>
    </w:p>
    <w:p>
      <w:r>
        <w:rPr>
          <w:b/>
        </w:rPr>
        <w:t>E. 2.4</w:t>
      </w:r>
    </w:p>
    <w:p>
      <w:r>
        <w:t>Die Nomenklatur des HS bildet die systematische Grundlage des Schweizerischen Generaltarifs, dessen Kodierung durchwegs als achtstellige Tarifnummer pro Warenposition ausgestaltet und damit gegenüber der sechsstelligen Nomenklatur des HS um zwei Stellen verfeinert ist (Remo Arpagaus, Zollrecht, in: Koller/Müller/Rhinow/Zimmerli [Hrsg.], Das schweizerische Bundesverwaltungsrecht, Bd. XII, 2. Aufl., Basel 2007, Rz. 576). Daraus folgt, dass die Schweizerische Nomenklatur bis zur sechsten Ziffer völkerrechtlich bestimmt ist. Falls die siebte und achte Ziffer ihre Grundlage im ZTG finden, kommt ihnen Gesetzesrang zu. Da sowohl Bundesgesetzte wie auch Völkerrecht für das Bundesverwaltungsgericht massgebendes Recht darstellen, bleibt die gesamte achtstellige Nomenklatur einer richterlichen Prüfung entzogen (Art. 190 BV; vgl. Urteil des Bundesverwaltungsgerichts A-1704/2006 vom 25. Oktober 2007 E. 2.1.2 mit weiteren Hinweisen; vgl. auch Arpagaus, a.a.O., Rz. 578).</w:t>
      </w:r>
    </w:p>
    <w:p>
      <w:r>
        <w:rPr>
          <w:b/>
        </w:rPr>
        <w:t>E. 2.5</w:t>
      </w:r>
    </w:p>
    <w:p>
      <w:r>
        <w:t>Gestützt auf Art. 3 ZTG kann der Bundesrat einzelne Ansätze des Generaltarifs von sich aus erhöhen, wenn dies zur Gewährleistung des mit der Tariferhöhung verfolgten Zwecks unerlässlich ist. Insbesondere gemäss Art. 1 des Bundesgesetzes vom 13. Dezember 1974 über die Ein- und Auffuhr von Erzeugnissen aus Landwirtschaftsprodukten (SR 632.111.72) kann der Bundesrat die Zollansätze für diese Erzeugnisse so festsetzen, dass er ein Industrieschutzelement ausscheidet und dieses um bewegliche Teilbeträge erhöht. Überdies kann er gestützt auf Art. 3 ZTG auf dem Verordnungsweg selbständig Unternummern schaffen (Entscheid der ZRK vom 28. März 1996 E. 4a.aa, veröffentlicht in Verwaltungspraxis der Bundesbehörden [VPB] 61.19; Entscheid der ZRK vom 13. Januar 1998 [ZRK 1997-006] E. 3a.aa; vgl. die differenzierte Auseinandersetzung mit Art. 3 ZTG bei Arpagaus, a.a.O., Rz. 578 und 602 ff.).</w:t>
      </w:r>
    </w:p>
    <w:p>
      <w:r>
        <w:rPr>
          <w:b/>
        </w:rPr>
        <w:t>E. 2.6</w:t>
      </w:r>
    </w:p>
    <w:p>
      <w:r>
        <w:t>Die Vertragsstaaten des HS-Übereinkommens beabsichtigen eine einheitliche Auslegung der völkerrechtlich festgelegten Nomenklatur (vgl. Art. 7 Ziff. 1 Bst. b und c; Art. 8 Ziff. 2 des HS-Übereinkommens). Dazu dienen insbesondere verbindliche Auslegungsregeln ("Règles générales pour l'interprétation du Système Harmonisé") die das Vorgehen bei der Tarifierung im Detail regeln. Dennoch bleibt Raum für nationale Regelungen. So kann die OZD gestützt auf Art. 22 Abs. 3 aZG zum Beispiel sogenannte Schweizerische Erläuterungen erlassen. Diese können unter www.tares.ch abgerufen werden.</w:t>
      </w:r>
    </w:p>
    <w:p>
      <w:r>
        <w:rPr>
          <w:b/>
        </w:rPr>
        <w:t>E. 2.7</w:t>
      </w:r>
    </w:p>
    <w:p>
      <w:r>
        <w:t>In ihrer früheren Rechtsprechung hat die ZRK Untersuchungsberichte der SCTK als öffentliche Urkunden qualifiziert (vgl. Urteil der ZRK vom 19. September 1962 Nr. 10, veröffentlicht in ASA 32, S. 79). Im Entscheid (ZRK 1997-017 E. 3b, veröffentlicht in VPB 64.44) vom 8. April 1999 liess sie diese Frage allerdings offen und hielt fest, dass - selbst wenn der Untersuchungsbericht eine öffentliche Urkunde wäre - dies einzig zu bedeuten habe, dass die darin wiedergegebenen Analyseresultate richtig verurkundet worden sind und die in den Untersuchungsberichten wiedergegebenen Daten den effektiven Messergebnissen entsprächen. Ob dagegen die Messungen selbst korrekt durchgeführt worden seien, würde durch eine Qualifikation als öffentliche Urkunde nicht berührt.</w:t>
      </w:r>
    </w:p>
    <w:p>
      <w:r>
        <w:rPr>
          <w:b/>
        </w:rPr>
        <w:t>E. 2.7.1</w:t>
      </w:r>
    </w:p>
    <w:p>
      <w:r>
        <w:t>Für die am Zollverfahren Beteiligten ist die Qualifikation des Untersuchungsberichtes der SCTK insoweit von Bedeutung, als daran Folgen für dessen Beweiskraft geknüpft werden. Eine öffentliche Beurkundung bewirkt nach Art. 9 des Zivilgesetzbuches vom 10. Dezember 1910 (ZGB, SR 210), dass die Urkunde für die durch sie bezeugten Tatsachen vollen Beweis erbringt, solange nicht die Unrichtigkeit ihres Inhalts nachgewiesen ist. Im Rahmen des Bundeszivilrechtes enthält Art. 9 Abs. 1 ZGB nach seiner Formulierung eine vom Grundsatz der freien Beweiswürdigung abweichende gesetzliche Beweisregel (Hans Schmid, in: Basler Kommentar, Zivilgesetzbuch I, 3. Aufl., Basel 2006, N. 1 zu Art. 9 ZGB). Die verstärkte Beweiskraft der öffentlichen Urkunde beruht auf der Wahrheitspflicht, welche die Parteien und die Urkundsperson treffen (Schmid, a.a.O., N. 23 zu Art. 9 ZGB). Nach bundesgerichtlicher Rechtsprechung ist unter der öffentlichen Beurkundung das Herstellen eines Schriftstückes durch eine vom Staat mit dieser Aufgabe betrauten Person in der vom Staat geforderten Form und in dem von ihm vorgeschriebenen Verfahren zu verstehen (BGE 90 II 274 E. 6, 99 II 159 E. 2a). Gemäss herrschender Lehre beschränkt sich der Anwendungsbereich von Art. 9 ZGB auf öffentliche Urkunden des Bundeszivilrechts (vgl. Urteil des Bundesgerichts 4A.172/2007 vom 13. August 2007 E. 2.4.3, mit weiteren Hinweisen). Nach Art. 55 des Schlusstitels des Schweizerischen Zivilgesetzbuchs vom 10. Dezember 1907 (SchlT ZGB, SR 210) sind es denn auch die Kantone, die bestimmen, in welcher Weise auf ihrem Gebiet die öffentliche Beurkundung hergestellt wird, wobei das Bundesrecht jene Rechtsgeschäfte nennt, für welche die öffentliche Beurkundung Formvorschrift ist.</w:t>
      </w:r>
    </w:p>
    <w:p>
      <w:r>
        <w:rPr>
          <w:b/>
        </w:rPr>
        <w:t>E. 2.7.2</w:t>
      </w:r>
    </w:p>
    <w:p>
      <w:r>
        <w:t>Anders als bei öffentlichen Urkunden des Bundeszivilrechts wird für die Erstellung des Untersuchungsberichts der SCTK kein spezielles Verfahren verlangt, sodass es sich im Gegenzug auch nicht rechtfertigt, dem Untersuchungsbericht eine verstärkte Beweiskraft im Sinne von Art. 9 ZGB zukommen zulassen (Entscheid der ZRK vom 8. April 1999 [ZRK 1997-017], VPB 64.44 E. 3b, mit gleichem Ergebnis).</w:t>
      </w:r>
    </w:p>
    <w:p>
      <w:r>
        <w:rPr>
          <w:b/>
        </w:rPr>
        <w:t>E. 2.7.3</w:t>
      </w:r>
    </w:p>
    <w:p>
      <w:r>
        <w:t>Das Zollverfahren ist vom Selbstdeklarationsprinzip bestimmt (Art. 24 aZG; vgl. Urteil des Bundesverwaltungsgerichs A-1883/2007 vom 4. September 2007 E. 2.2). Die Deklaration des Zollpflichtigen dient als Grundlage der Zollberechnung, es sei denn, sie werde durch eine amtliche Revision berichtigt (Art. 24 Abs. 1 aZG). Soweit nicht durch Gesetz, Verordnung oder Dienstanweisung etwas anderes angeordnet ist, können die Zollämter zur Zollbehandlung angemeldete oder der Zollmeldepflicht unterliegende Waren umfassend oder durch Stichproben prüfen oder die Abfertigung auf Grund der Deklaration vornehmen (Art. 36 aZG). Mündet die von der Zollbehörde vorgenommene Revision in ein gerichtliches Verfahren, so kann die Frage aktuell werden, wer was zu beweisen hat. Der Beweis ist geleistet, wenn der Richter bzw. die Richterin gestützt auf die freie Beweiswürdigung zur Überzeugung gelangt, dass sich der rechtserhebliche Sachumstand verwirklicht (bzw. nicht verwirklicht) hat. Gemäss der allgemeinen Beweislastregel hat, wo das Gesetz es nicht anders bestimmt, derjenige das Vorhandensein einer behaupteten Tatsache zu beweisen, der aus ihr Rechte ableitet (Art. 8 ZGB). Bei Beweislosigkeit ist folglich zu Ungunsten desjenigen zu entscheiden, der die Beweislast trägt (BGE 121 II 257 E. 4c.aa; Fritz Gygi, Bundesverwaltungsrechtspflege, Bern 1983, S. 279 f., Martin Zweifel, Die Sachverhaltsermittlung im Steuerveranlagungsverfahren, Zürich 1989, S. 109 f.). Abgesehen von Besonderheiten, welche die Natur des Selbstdeklarationsprinzips mit sich bringt, gilt im Zollrecht wie allgemein im Abgaberecht der Grundsatz, wonach die Behörde die Beweislast für Tatsachen trägt, welche die Abgabepflicht begründen oder die Abgabeforderung erhöhen; demgegenüber die abgabepflichtige bzw. abgabebegünstigte Person für die abgabeaufhebenden und -mindernden Tatsachen beweisbelastet ist (Urteil des Bundesverwaltungsgerichts A-1687/2006 vom 18. Juni 2007 E. 2.4; Entscheide der ZRK vom 15. November 2005 [ZRK 2003-165] E. 2aa, 2bb und 3b; vom 6. Juli 2004, veröffentlichet in VPB 68.166 E. 2d; Ernst Blumenstein/Peter Locher, System des Steuerrechts, Zürich 2002, S. 454; Zweifel, a.a.O., S. 48).</w:t>
      </w:r>
    </w:p>
    <w:p>
      <w:r>
        <w:rPr>
          <w:b/>
        </w:rPr>
        <w:t>E. 2.7.4</w:t>
      </w:r>
    </w:p>
    <w:p>
      <w:r>
        <w:t>Wird die Tarifierung bestritten und legen die Zollbehörden mittels eines begründeten Revisionsberichtes der SCTK plausibel dar, unter welchen Tarif eine Ware fällt, ist die abgabebegründende bzw. -erhöhende Tatsache gegebenenfalls grundsätzlich erstellt. Es steht dem Abgabepflichtigen frei, anderweitige Nachweise ins Recht zu legen und im Rechtsmittelverfahren darzutun, weshalb der Revisionsbericht der OZD nicht stichhaltig bzw. unzutreffend oder die Würdigung desselben durch die Behörden falsch sei. Da es ihm obliegt, die abgabemindernden Tatsachen nachzuweisen, trägt folglich er die Beweislast für die Unrichtigkeit des Revisionberichtes. Somit ändert die Feststellung, wonach einem Revisionsbericht nicht der Charakter einer öffentlichen Urkunde im Sinne von Art. 9 ZGB zukommt, grundsätzlich nichts an der Beweislastverteilung zwischen der Verwaltung und den Abgabepflichtigen (mit diesem Ergebnis bereits Entscheid der ZRK vom 8. April 1999 [ZRK 1997-017], VPB 64.44 E. 3b). Selbstredend kann das Bundesverwaltungsgericht in Anwendung der Untersuchungsmaxime von sich aus ein Obergutachten der Ware veranlassen, wenn es zum Schluss gelangt, der Revisionsbericht der OZD sei offensichtlich fehlerhaft, beispielsweise hinsichtlich Analyseverfahren oder -ergebnis. Der Richter kann dem dergestalt fehlerhaften Bericht auch die Beweiskraft absprechen und allenfalls zu Lasten der Zollbehörde entscheiden.</w:t>
      </w:r>
    </w:p>
    <w:p>
      <w:r>
        <w:rPr>
          <w:b/>
        </w:rPr>
        <w:t>E. 3.1</w:t>
      </w:r>
    </w:p>
    <w:p>
      <w:r>
        <w:t>Dem Schweizerischen Gebrauchstarif war zum Zeitpunkt der Einfuhr der strittigen Produkte Folgendes zu entnehmen: 2202 Wasser, einschliesslich Mineralwasser und mit Kohlensäure versetztes Wasser, mit Zusatz von Zucker oder anderen Süssstoffen oder aromatisiert, und andere nichtalkoholische Getränke, ausgenommen Frucht- oder Gemüsesäfte der Nr. 2009: 2202.1000 - Wasser, einschliesslich Mineralwasser und mit Kohlensäure versetztes Wasser, mit Zusatz von Zucker oder anderen Süssstoffen oder aromatisiert 2202.90 - andere: - - Frucht- oder Gemüsesäfte, mit Wasser verdünnt oder mit Kohlensäure versetzt: - - - Traubensaft, in Behältnissen mit einem Fassungsvermögen von nicht mehr als 2 l: - - - Kernobstsaft, in Behältnissen mit einem Fassungsvermögen von nicht mehr als 2 l: - - - andere, ausgenommen Gemüsesäfte: - - - - mit Zusatz von Zucker oder anderen Süssstoffen: 2202.9031 - - - - - in Glasflaschen mit einem Fassungsvermögen von nicht mehr als 2 dl 2202.9032 - - - - - in anderen Behältnissen - - - - ohne Zusatz von Zucker oder anderen Süssstoffen: Hierzu enthalten die Erläuterungen zum Zolltarif (D6/I, Kapitel 22) sogenannte Schweizerische Erläuterungen (vgl. Ziff. 2.6 hievor). Diese schreiben für die verschiedenen Fruchtarten Mindestgehalte (in Prozenten) vor, die erreicht sein müssen, damit das Getränk als mit Wasser verdünnter, gezuckerter Fruchtsaft (Nektar) gilt und, zum Beispiel, unter der Tarifnummer 2202.9032 eingereiht wird. Getränke mit einem geringeren Anteil an Fruchtsaft oder Fruchtmark gelten als aromatisierte Tafelgetränke und fallen in der Regel unter die Tarifnummer 2202.1000 für aromatisierte Tafelgetränke. Bei Fruchtsaftmischungen muss die Summe der Quotienten mindestens 1 betragen. Ein Quotient besteht aus dem Resultat der Division des Saftanteils durch den in den Schweizerischen Erläuterungen für den entsprechenden Saft genannten Mindestgehalt. Die Schweizerischen Erläuterungen legen somit die Kriterien der Abgrenzung zwischen Nektaren und aromatisierten Tafelgetränken fest. Diese Kriterien orientieren sich am Lebensmittelrecht und erscheinen als sachgerecht; deren Rechtmässigkeit wird denn auch nicht in Abrede gestellt. Die Rechtsfolgen, welche die Höhe des Fruchtsaftgehaltes vorliegendenfalls auslöst, nämlich die Tarifierung entweder als Tafelgetränke der Nummer 2202.1000 (Fr. 2.-- pro 100 kg) oder als sogenannte Nektare der Nummer 2202.9032 (Fr. 59.50 pro 100 kg) werden von der Beschwerdeführerin ebenfalls nicht bestritten.</w:t>
      </w:r>
    </w:p>
    <w:p>
      <w:r>
        <w:rPr>
          <w:b/>
        </w:rPr>
        <w:t>E. 3.2</w:t>
      </w:r>
    </w:p>
    <w:p>
      <w:r>
        <w:t>Vor den Zollbehörden hat sich die Beschwedeführerin hingegen darauf berufen, dass Drittfirmen für die Einfuhr der angeblich genau gleichen Produkte regelmässig der tiefere Zollansatz der Nummer 2202.1000 zugestanden werde. In ihrer Beschwerde an die ZRK bzw. an das Budesverwaltungsgericht hat sie dieses Argument zu Recht fallengelassen. Festzuhalten bleibt, dass Streitgegenstand des vorliegenden Verfahrens einzig die Tarifierung von Waren bilden kann, welche von der Beschwerdeführerin in die Schweiz eingeführt worden sind; selbstredend kann die Zusammensetzung und die Tarifierung anderer, von Drittfirmen eingeführter Säfte nicht beurteilt werden. Selbst wenn davon auszugehen wäre, dass die Produkte unter den rechtswesentlichen Gesichtspunkten mit den vorliegenden vergleichbare wären, was nicht feststeht, könnte die Beschwerdeführerin aus dem Grundsatz der Gleichbehandlung im Unrecht nichts zu ihren Gunsten ableiten. Weder steht fest, dass die OZD in vergleichbaren Situationen in ständiger Praxis tatsächlich den niedrigeren Zollansatz zur Anwendung bringt noch gibt die OZD zu erkennen, dass sie diesbezüglich auch in Zukunft nicht gesetzeskonform entscheiden werde (zu den Voraussetzungen einer Gleichbehandlung im Unrecht siehe BGE 127 I 1 E. 3a, 122 II 446 E. 4a; Ulrich Häfelin/Georg Müller/Felix Uhlmann, Allgemeines Verwaltungsrecht, 5. Aufl., Zürich/Basel/Genf 2006, Rz. 518 ff.).</w:t>
      </w:r>
    </w:p>
    <w:p>
      <w:r>
        <w:rPr>
          <w:b/>
        </w:rPr>
        <w:t>E. 3.3</w:t>
      </w:r>
    </w:p>
    <w:p>
      <w:r>
        <w:t>Die Beschwerdeführerin argumentiert, ein Laborbefund der Lebensmittelkontrolle des Kantons Solothurn habe ergeben, dass es sich bei den Säften nicht um Nektare handle. Der hierfür gemäss Lebensmittelrecht verlangte Fruchtsaftgehalt liege nicht vor. Es sei nicht einzusehen, weshalb den Untersuchungsergebnissen der SCTK mehr Bedeutung zukomme als jenen der kantonalen Labors.</w:t>
      </w:r>
    </w:p>
    <w:p>
      <w:r>
        <w:rPr>
          <w:b/>
        </w:rPr>
        <w:t>E. 3.3.1</w:t>
      </w:r>
    </w:p>
    <w:p>
      <w:r>
        <w:t>Es ist nicht vollends auszuschliessen, dass nach Verpackung und Bezeichung vergleichbare Säfte zu verschiedenen Zeitpunkten unterschiedlich tarifiert werden. Dies erklärt sich aus dem Umstand, dass als Unterscheidungskriterien natürliche Saftbestandteile (z.B. Kalium, Phosphor etc.) herangezogen werden, die natürlicherweise gewissen Schwankungen unterliegen. Folglich liegt es im Bereich des Möglichen und Zulässigen, dass für Lieferungen des an sich vergleichbaren Produktes zu unterschiedlichen Zeitpunkten verschiedene Fruchtsaftanteile berechnet werden. Es kann sogar sein, dass der Fruchtsaftgehalt je nach Behältnis (Tetra, Glas) variiert. Da sich die fraglichen Säfte zudem im Grenzbereich zwischen aromatisierten Tafelgetränken und Nektaren bewegen, können bereits geringe Mengenunterschiede des untersuchten Bestandteiles Folgen für die Höhe der Abgabe nach sich ziehen.</w:t>
      </w:r>
    </w:p>
    <w:p>
      <w:r>
        <w:rPr>
          <w:b/>
        </w:rPr>
        <w:t>E. 3.3.2</w:t>
      </w:r>
    </w:p>
    <w:p>
      <w:r>
        <w:t>Es bleibt der Beschwerdeführerin unbenommen (vgl. Ziff. 2.7.4 hievor), eigene bzw. andere Laborberichte ins Recht zu legen und die Feststellungen der SCTK in Zweifel zu ziehen. Der erste von ihr eingereichte Bericht der Lebensmittelkontrolle des Kantons Solothurn, datierend vom 6. November 2003, äussert sich allerdings zu anderen als den vorliegend zu tarifierenden Säften, was sich schon daraus ergibt, dass der Bericht rund ein Jahr vor der Einfuhr der fraglichen Produkte erstellt worden ist. Für die Tarifierung ist allein der Zustand der Ware im Zeitpunkt, in dem sie unter Zollkontrolle gestellt wird, massgeblich (Art. 23 aZG). Das Vorgehen der Beschwerdeführerin, mit einer Analyse, die nicht dieselbe Ware betrifft, eine andere Analyse widerlegen zu wollen, ist von vornherein untauglich.</w:t>
      </w:r>
    </w:p>
    <w:p>
      <w:r>
        <w:rPr>
          <w:b/>
        </w:rPr>
        <w:t>E. 3.4</w:t>
      </w:r>
    </w:p>
    <w:p>
      <w:r>
        <w:t>Die Beschwerdeführerin beruft sich sodann auf einen Brief der Lebensmittelkontrolle des Kantons Solothurn vom 19. September 2005, der eine Beurteilung der Rezepturen enthält. Demnach sind die Anteile der Hauptzutaten zu tief für eine alleinige Auslobung der Säfte als Sauerkirsch- bzw. Pfirsichnektar.</w:t>
      </w:r>
    </w:p>
    <w:p>
      <w:r>
        <w:rPr>
          <w:b/>
        </w:rPr>
        <w:t>E. 3.4.1</w:t>
      </w:r>
    </w:p>
    <w:p>
      <w:r>
        <w:t>Abgesehen davon, dass der Lebensmittelkontrolle andere Rezepturen vorgelegen haben als der OZD und die Lebensmittelkontrolle nicht eine chemische Analyse der Säfte, sondern eine Beurteilung anhand der Rezepturen vorgenommen hat, geht die Interpretation des im Brief Festgehaltenen durch die Beschwerdeführerin bereits im Ansatz fehl. Die Lebensmittelkontrolle äusserte sich nämlich einzig zur Frage, ob die Kennzeichnung der Säfte korrekt sei; hierzu hielt sie fest, dass gemäss Rezeptur insbesondere der nach Lebensmittelrecht für Sauerkirschnektar verlangte minimale Anteil von 35% mit einem Anteil von 28.9% nicht erreicht sei, folglich die Bezeichnung als Sauerkirschnektar nicht zulässig sei. Die Sachbezeichnung müsse lauten: "Fruchtnektar mit Sauerkirschen (28.9%) und Zitronen (7.5%)". Entgegen der Meinung der Bescherdeführerin enthält der Brief nicht die Aussage, dass keine Nektare vorlägen; es wird im Gegenteil ausdrücklich festgehalten, dass es sich bei allen Rezepturen um Fruchtgetränkemischungen handle, die allesamt einen Quotienten (recte: Quotientensumme) grösser 1 erreichten. Wird nämlich der gemäss dieser Rezeptur vorhandene Sauerkirschanteil (28.9%) durch den gemäss Schweizerischen Erläuterungen verlangten Mindestgehalt (35%) dividiert, ergibt dies den Quotienten 0.826. Für Zitronensaft wird ein Anteil von 25% verlangt, was einem Quotienten von 0.3 entspräche (7.5% geteilt durch 25%). Demgemäss liegt eine Quotientensumme vor, die grösser 1 ist (0.826 plus 0.3 = 1.126). Entgegen der Meinung der Beschwerdeführerin widerlegt somit die Beurteilung der kantonalen Lebensmittelkontrolle nicht das Resultat der OZD, sondern bestätigt dieses. Das Gleiche gilt für die Quotientensumme beim sog. Pfirsichnektar ([43.2% / 45%] + [3.4% / 25%] = 1.096). Zusammenfassend hat die Beurteilung der Rezepturen ergeben, dass es sich durchwegs um Fruchtsaftmischungen mit Quotientensummen grösser 1 handelt. Die Rezepturen sind der OZD bezeichnenderweise nicht von der Beschwerdeführerin, sondern - auf Anfrage hin - von der Lebensmittelkontrolle des Kantons Solothurn eingereicht worden. Das Blatt trägt immerhin Firma und Adresse des Lieferanten; es handelt sich offenbar um Briefpapier des türkischen Herstellers. Die Rezepturen sind in englischer Sprache beschrieben.</w:t>
      </w:r>
    </w:p>
    <w:p>
      <w:r>
        <w:rPr>
          <w:b/>
        </w:rPr>
        <w:t>E. 3.4.2</w:t>
      </w:r>
    </w:p>
    <w:p>
      <w:r>
        <w:t>Die von der Beschwerdeführerin demgegenüber erst später - bzw. nach dem Anwaltswechsel - eingereichte Zusammenstellung von Rezepturen vermag daran nichts zu ändern. Sie erweckt vielmehr den Eindruck, eine nach der Vorlage der Herstellerrezeptur, ergebnisorientiert angefertigte Abschrift zu sein. Sie trägt weder Briefkopf noch Firma, geschweige denn eine Unterschrift. Das Dokument ist teilweise in deutscher, teilweise in englischer Sprache abgefasst, enthält viele Tippfehler und Werte, die durchwegs Quotientensummen von knapp 1 ergeben. Ob dem Dokument unter diesen Umständen überhaupt ein Beweiswert zuzumessen ist, scheint höchst fraglich, kann jedoch offenbleiben, da nach zutreffender Beurteilung der SCTK auch gestützt auf diese Zusammensetzungen die Säfte als Nektare gelten.</w:t>
      </w:r>
    </w:p>
    <w:p>
      <w:r>
        <w:rPr>
          <w:b/>
        </w:rPr>
        <w:t>E. 3.5</w:t>
      </w:r>
    </w:p>
    <w:p>
      <w:r>
        <w:t>Die Beschwerdeführerin verlangt sodann die Untersuchung durch ein neutrales Labor, dies, ohne substantiiert zu begründen, weshalb der Revisionsbericht der SCTK nicht korrekt sein soll. Weder vermag sie nachzuweisen noch ist ersichtlich, inwiefern der Revisionsbericht namentlich betreffend Analyseverfahren oder -ergebnis fehlerhaft, geschweige denn offensichtlich unzulänglich, sein sollte. Von einem Obergutachten ist bereits deshalb abzusehen (E. 2.7.3 und 2.7.4 hievor). Nur am Rande sei die Beschwerdeführerin überdies darauf hinzuweisen, dass es sich bei der SCTK um ein nach ISO/IEC-Norm 17025 zertifiziertes Labor handelt. Die ISO/IEC-Norm 17025 (vorliegendenfalls ist die Ausgabe 1999 einschlägig) enthält Anforderungen, die Prüf- und Kalibrierungslaboratorien erfüllen müssen, wenn sie nachweisen wollen, dass sie technisch kompetent und fähig sind, fachlich fundierte Ergebnisse zu erzielen (Schweizerische Normenvereinigung (Hrsg.), Allgemeine Anforderungen an die Kompetenz von Prüf- und Kalibrierungslaboratorien [ISO/IEC-Norm 17025:1999], S. 3). So muss das Laboratorium Festlegungen haben, durch die sichergestellt wird, dass seine Leitung und sein Personal frei von internen oder externen kommerziellen, finanziellen und sonstigen Zwängen und Einflüssen sind, die sich negativ auf die Qualität der Arbeit auswirken können (ISO/IEC-Norm 17025:1999, S. 7). Die Norm enthält detaillierte Vorschriften bezüglich Anforderungen an das Management, die Lenkung, Genehmigung und Herausgabe von Dokumenten oder bezüglich Vorgehen bei fehlerhaften Prüf- und Kalibrierungsarbeiten (ISO/IEC-Norm 17025:1999, S. 6 ff.). Zudem werden in der Norm die technischen Anforderungen umschrieben, so jene an das Personal, die Räumlichkeiten und Umgebungsbedingungen, die Prüf- und Kalibrierverfahren und deren Validierung, die Schätzung der Messunsicherheit, die Probenahme etc. (ISO/IEC-Norm 17025:1999, S. 22 ff.). Die Beschwerdeführerin mag auch nicht implizite glaubhaft zu machen, die fraglichen Revisionsberichte der SCTK verstiessen auch nur ansatzweise gegen diese ISO-Norm.</w:t>
      </w:r>
    </w:p>
    <w:p>
      <w:r>
        <w:rPr>
          <w:b/>
        </w:rPr>
        <w:t>E. 3.6</w:t>
      </w:r>
    </w:p>
    <w:p>
      <w:r>
        <w:t>Da die umstrittenen Getränke ohnehin die Packungsaufschrift "Nektar" trugen, hätte die Beschwerdeführerin durchaus damit rechnen können, dass die Säfte auch als solche verzollt würden. Im übrigen verhält sie sich widersprüchlich, wenn sie Säfte verkauft, die gemäss Verpackung einen Fruchtsaftgehalt von mindestens 35% bzw. 45% aufweisen, vor den Zollbehörden aber verlangt, die Säfte aufgrund des theoretisch geringst möglichen Fruchtsaftgehaltes zu tarifieren. Zusammenfassend ist festzuhalten, dass an der Korrektheit der SCTK-Berichte kein Zweifel besteht. Diese ergaben - in Übereinstimmung mit den Angaben auf Packung und Rezeptur - dass es sich bei den fraglichen Säften um Nektare der Tarifnummer 2202.9032 handelt.</w:t>
      </w:r>
    </w:p>
    <w:p>
      <w:r>
        <w:rPr>
          <w:b/>
        </w:rPr>
        <w:t>E. 4</w:t>
      </w:r>
    </w:p>
    <w:p>
      <w:r>
        <w:t>Nach dem Gesagten ist die Beschwerde abzuweisen, soweit darauf einzutreten ist. Die Verfahrenskosten in der Höhe von Fr. 1'200.-- sind der Beschwerdeführerin aufzuerlegen (Art. 63 Abs. 1 VwVG in Verbindung mit Art. 4 des Reglements vom 21. Februar 2008 über die Kosten und Entschädigungen vor dem Bundesverwaltungsgericht [VGKE, SR 173.320.2])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