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A-174/2014 vom 6. März 2015</w:t>
      </w:r>
    </w:p>
    <w:p>
      <w:r>
        <w:t>Bundesverwaltungsgericht, 2015-03-06, DE</w:t>
      </w:r>
    </w:p>
    <w:p>
      <w:r>
        <w:rPr>
          <w:b/>
        </w:rPr>
        <w:t xml:space="preserve">Quelle: </w:t>
      </w:r>
      <w:r>
        <w:t>https://mcp.opencaselaw.ch/entscheid/bvger_A-174_2014</w:t>
      </w:r>
    </w:p>
    <w:p>
      <w:r>
        <w:t>FR: TAF A-174/2014 du 6 mars 2015</w:t>
      </w:r>
    </w:p>
    <w:p>
      <w:r>
        <w:t>IT: TAF A-174/2014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 der Beschwerdegegnerin für die Tarifjahre 2009 und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Prozessieren vor dem Bundesverwaltungsgericht, 2. Aufl. 2013,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 Beusch/Kneubühler, a.a.O., Rz. 2.210).</w:t>
      </w:r>
    </w:p>
    <w:p>
      <w:r>
        <w:rPr>
          <w:b/>
        </w:rPr>
        <w:t>E. 1.3.2</w:t>
      </w:r>
    </w:p>
    <w:p>
      <w:r>
        <w:t>Vorliegend ist unbestritten, dass die Beschwerdegegnerin auf den Rückerstattungsforderungen der Beschwerdeführerin ab dem von der Vorinstanz für den Verzugseintritt als massgeblich erachteten Zeitpunkt, d.h. dem 13. Dezember 2010, einen Verzugszins von 5 % zu entrichten hatte. Streitig ist jedoch einerseits, ob der Verzug bereits mit der Entrichtung der SDL-Akontozahlungen unter Vorbehalt eintrat und die Beschwerdegegnerin daher ab diesem Zeitpunkt bis zu dem von der Vorinstanz für den Verzugseintritt als massgeblich erachteten späteren Zeitpunkt zusätzliche Verzugszinsen zu bezahlen hat (vgl. Rechtsbegehren 1.i und 2.i). Umstritten ist andererseits, ob die Beschwerdeführerin für den Fall, dass dies zu verneinen ist, ab der Entrichtung der SDL-Akontozahlungen bis zum - ebenfalls streitigen - massgeblichen späteren Zeitpunkt des Verzugseintritts Anspruch auf Bereicherungszins hat (vgl. Rechtsbegehren 1.ii und 2.ii [Eventualbegehren] sowie Rechtsbegehren 1.iii und 2.iii [Subeventualbegehren]). Streitig ist zudem die Verlegung der Kosten des vorinstanzlichen Verfahrens (vgl. Rechtsbegehren 3).</w:t>
      </w:r>
    </w:p>
    <w:p>
      <w:r>
        <w:rPr>
          <w:b/>
        </w:rPr>
        <w:t>E. 1.3.3</w:t>
      </w:r>
    </w:p>
    <w:p>
      <w:r>
        <w:t>Während die Beschwerdeführerin mit den Rechtsbegehren 1.i und 2.i nicht über den Streitgegenstand des vorinstanzlichen Verfahrens hinausgeht, da sie bereits dort Verzugszins ab Entrichtung der SDL-Akontozahlungen geltend machte, und die mit Rechtsbegehren 3 geforderte Kostenverlegung der vor der Vorinstanz verlangten entspricht, beantragt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Beschwerdegegnerin. Da Erstere in ihren Stellungnahmen einen Anspruch der Beschwerdeführerin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8).</w:t>
      </w:r>
    </w:p>
    <w:p>
      <w:r>
        <w:rPr>
          <w:b/>
        </w:rPr>
        <w:t>E. 1.4</w:t>
      </w:r>
    </w:p>
    <w:p>
      <w:r>
        <w:t>Die Beschwerde wurde im Weiteren frist- und formgerecht eingereicht (vgl. Art. 50 Abs. 1 und Art. 52 Abs. 1 VwVG), weshalb - unter Vorbehalt der vorstehenden Ausführungen (vgl. E. 1.3.3) -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Wie erwähnt (vgl. E. 1.3.2), ist vorliegend einerseits streitig, ob der Verzug bereits mit der Entrichtung der SDL-Akontozahlungen unter Vorbehalt eintrat und die Beschwerdegegnerin der Beschwerdeführerin daher ab diesem Zeitpunkt bis zu dem von der Vorinstanz für den Verzugseintritt als massgeblich erachteten späteren Zeitpunkt zusätzliche Verzugszinsen zu bezahlen hat (vgl. Rechtsbegehren 1.i und 2.i). Andererseits ist umstritten, ob die Beschwerdeführerin für den Fall, dass dies zu verneinen ist, ab der Entrichtung der Akontozahlungen bis zum - ebenfalls streitigen - massgeblichen späteren Zeitpunkt des Verzugseintritts Anspruch auf Bereicherungszins hat (vgl. Rechtsbegehren 1.ii und 2.ii [Eventualbegehren] sowie Rechtsbegehren 1.iii und 2.iii [Subeventualbegehren]). Streitig ist zudem die Verlegung der Kosten des vorinstanzlichen Verfahrens (vgl. Rechtsbegehren 3). Nachfolgend wird zunächst die erste Frage (vgl. E. 4 ff.), anschliessend die zweite (vgl. E. 7 f.) und schliesslich die dritte geprüft (vgl. E. 9). Vorab ist an dieser Stelle auf die Rechtsnatur des Rechtsverhältnisses einzugehen, welches zwischen der Beschwerdeführerin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Genehmigungsverfügung der Vorinstanz vom 14. April 2011 (Tarifjahr 2009)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8.5.1). Zusätzlicher Verzugszins (Rechtsbegehren 1.i und 2.i)</w:t>
      </w:r>
    </w:p>
    <w:p>
      <w:r>
        <w:rPr>
          <w:b/>
        </w:rPr>
        <w:t>E. 4</w:t>
      </w:r>
    </w:p>
    <w:p>
      <w:r>
        <w:t>Die Beschwerdeführerin nennt im Zusammenhang mit ihrem Begehren auf zusätzlichen Verzugszins (vgl. Rechtsbegehren 1.i und 2.i) die Gründe, wieso der Verzug bereits mit der Entrichtung der SDL-Akontozahlungen unter Vorbehalt eingetreten sei (vgl. dazu nachfolgend E. 5 f.). Soweit sie sich dabei nicht auf besondere Regeln beruft, geht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soweit erforderlich,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Beschwerdeführerin bringt zugunsten des Verzugseintritts im Zeitpunkt der Entrichtung der SDL-Akontozahlungen unter Vorbehalt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allgemein für Fälle gelte, in denen ein Rechtssubjekt gestützt auf Verwaltungsrecht unrechtmässig zur Zahlung eines Abgabebetrags verpflichtet werde, seien die Vorbehalte, die sie mit den SDL-Akontozahlungen verbunden habe, als Mahnungen zu qualifizieren. Dafür spreche insbesondere auch der Umstand, dass es sich nicht rechtfertige, einen Schuldner, der aufgrund einer gesetzes- und verfassungswidrigen Verordnungsbestimmung verpflichtet sei, eine Geldsumme vorerst zu bezahlen und den Ausgang eines gerichtlichen Normenkontrollverfahrens abzuwarten, das wirtschaftliche Risiko dieser Bestimmung tragen zu lassen. Unerheblich sei zudem, ob die Beschwerdegegnerin verfügungsberechtigt war. Für den Zinsenlauf könne es nicht darauf ankommen, ob die Zahlungsempfängerin die verfügende Behörde sei oder nur deren Verfügung vollziehe.</w:t>
      </w:r>
    </w:p>
    <w:p>
      <w:r>
        <w:rPr>
          <w:b/>
        </w:rPr>
        <w:t>E. 5.2</w:t>
      </w:r>
    </w:p>
    <w:p>
      <w:r>
        <w:t>Die Beschwerdegegnerin ist der Ansicht, die Beschwerdeführerin könne aus BGE 95 I 258 nichts zu ihren Gunsten ableiten, da der vorliegend zu beurteilende Sachverhalt anders gelagert sei. Zunächst sei sie hinsichtlich der Rechnungsstellung für die SDL-Akontozahlungen nicht verfügungsbefugt gewesen und habe diesbezüglich auch keinen Handlungsspielraum gehabt; vielmehr habe sie die Tarifverfügungen der Vorinstanz vom 6. März 2009 und 4. März 2010 vollzogen. Weiter gehe es nicht um die Höhe der zu tragenden SDL-Kosten, sondern um die Kostentragungspflicht als solche. Schliesslich seien den betroffenen Kraftwerkbetreiberinnen mit den SDL-Akontorechnungen nicht die (vermeintlichen) definitiven SDL-Kostenbeiträge in Rechnung gestellt worden.</w:t>
      </w:r>
    </w:p>
    <w:p>
      <w:r>
        <w:rPr>
          <w:b/>
        </w:rPr>
        <w:t>E. 5.3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der Beschwerdeführerin hinsichtlich der (vermeintlichen) Beitragspflicht nach aArt. 31b Abs. 2 StromVV bzw. der entsprechenden Akontozahlungen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 zur Bezahlung der SDL-Akontorechnungen aus öffentlich-rechtlichen Vorgaben, namentlich den Tarifverfügungen der Vorinstanz vom 6. März 2009 und 4. März 2010 ergab, sind die rechtsgrundlos erfolgten Akontozahlungen wegen der rechtlichen Stellung der Beschwerdegegnerin bzw. der Rechtsnatur des zwischen dieser und der Beschwerdeführerin bestehenden Verhältnisses daher nicht mit der Leistung des Beschwerdeführers in BGE 95 I 258 an die Veranlagungsbehörde zu vergleichen. Sie könnten deshalb entgegen der Ansicht der Beschwerdeführerin, die die unterschiedliche Rechtsstellung der Beschwerdegegnerin zu Unrecht als irrelevant qualifiziert,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 in ihrer Replik einräumt - nie anerkannt, sie müsse auf den SDL-Akontozahlungen ab deren Entrichtung Verzugszinsen leisten.</w:t>
      </w:r>
    </w:p>
    <w:p>
      <w:r>
        <w:rPr>
          <w:b/>
        </w:rPr>
        <w:t>E. 5.4.3</w:t>
      </w:r>
    </w:p>
    <w:p>
      <w:r>
        <w:t>Soweit die Beschwerdeführerin vorbringt, ihre Vorbehalte seien gestützt auf BGE 95 I 258 E. 3 als Mahnungen zu qualifizieren, die die Beschwerdegegnerin im Zeitpunkt der Entrichtung der SDL-Akontozahlungen in Verzug gesetzt hätten, erweist sich dies demnach als unzutreffend.</w:t>
      </w:r>
    </w:p>
    <w:p>
      <w:r>
        <w:rPr>
          <w:b/>
        </w:rPr>
        <w:t>E. 6.1</w:t>
      </w:r>
    </w:p>
    <w:p>
      <w:r>
        <w:t>Die Beschwerdeführerin beruft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Mahnung verlange. Die Vorinstanz hätte deshalb eine kartellrechtlich angemessene Regelung in dem Sinn treffen müssen (und dürfen), dass der Lauf der Verzugszinsen 30 Tage nach der Rechnungsstellung der Beschwerdegegnerin für die SDL-Akontozahlungen, mithin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die allgemeinen Regeln, die in den vertraglichen Beziehungen zwischen ihr und der Beschwerdeführerin gälten, seien auf die SDL-Akontozahlungen nicht anwendbar gewesen, da für eine vertragliche Beziehung in dieser Hinsicht kein Raum bestanden habe. Mangels einer derartigen Beziehung komme das KG nicht zur Anwendung. Sollte dieses wider Erwarten doch anwendbar sein, fehlte es an einem missbräuchlichen Verhalten ihrerseits, sei doch keine Benachteiligung der Marktgegenseite ersichtlich bzw. liege kein wettbewerbsrelevanter Sachverhalt im Sinne von Art. 7 Abs. 1 KG vor. Ebenso wenig bestehe eine Situation im Sinne von Art. 7 Abs. 2 Bst. c KG, da diese Bestimmung eine hier nicht vorliegende offensichtliche Ausbeutung verhindern wolle.</w:t>
      </w:r>
    </w:p>
    <w:p>
      <w:r>
        <w:rPr>
          <w:b/>
        </w:rPr>
        <w:t>E. 6.3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 verlange.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Beschwerdeführerin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 offenbar annimmt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 erweist sich daher bereits aus diesem Grund als unzutreffend, weshalb nicht weiter darauf eingegangen zu werden braucht.</w:t>
      </w:r>
    </w:p>
    <w:p>
      <w:r>
        <w:rPr>
          <w:b/>
        </w:rPr>
        <w:t>E. 6.4.3</w:t>
      </w:r>
    </w:p>
    <w:p>
      <w:r>
        <w:t>Entgegen der Ansicht der Beschwerdeführerin trat der Verzug der Beschwerdegegnerin somit nicht im Zeitpunkt der Leistung der SDL-Akontozahlungen unter Vorbehalt ein. Damit erweisen sich die Rechtsbegehren 1.i und 2.i als unbegründet, weshalb sie abzuweisen sind. Ergänzender Bereicherungszins (Rechtsbegehren 1.ii und 2.ii [Eventualbegehren] sowie Rechtsbegehren 1.iii und 2.iii [Subeventualbegehren])</w:t>
      </w:r>
    </w:p>
    <w:p>
      <w:r>
        <w:rPr>
          <w:b/>
        </w:rPr>
        <w:t>E. 7</w:t>
      </w:r>
    </w:p>
    <w:p>
      <w:r>
        <w:t>Im Zusammenhang mit den Eventualbegehren der Beschwerdeführerin stellt sich einerseits die Frage, ob für den Verzugseintritt von einem früheren Zeitpunkt auszugehen ist, als ihn die Vorinstanz in der angefochtenen Verfügung als massgeblich erachtete. Andererseits ist zu prüfen, ob der Beschwerdeführerin ab der Entrichtung der SDL-Akontozahlungen bis zum massgeblichen späteren Zeitpunkt des Verzugseintritts Bereicherungszins zusteht. Diese Frage stellt sich auch im Zusammenhang mit den Subeventualbegehren. Nachfolgend wird zunächst auf erstere (vgl. E. 7.1 ff.), anschliessend auf letztere Frage (vgl. E. 8) eingegangen. Verzugseintritt</w:t>
      </w:r>
    </w:p>
    <w:p>
      <w:r>
        <w:rPr>
          <w:b/>
        </w:rPr>
        <w:t>E. 7.1</w:t>
      </w:r>
    </w:p>
    <w:p>
      <w:r>
        <w:t>Die Beschwerdeführerin bringt in der Beschwerde im Zusammenhang mit ihrem Eventualbegehren vor, sollten die Zahlungsvorbehalte nicht als Mahnungen qualifiziert werden, seien sie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In der Replik führt sie aus, die Frage, ob die Beschwerdegegnerin einen Verfalltag habe vereinbaren können, stelle sich nicht, habe sich diese doch nach Treu und Glauben darüber im Klaren sein müssen, dass sie spätestens mit dem erwähnten Urteil in Verzug geraten sei.</w:t>
      </w:r>
    </w:p>
    <w:p>
      <w:r>
        <w:rPr>
          <w:b/>
        </w:rPr>
        <w:t>E. 7.2</w:t>
      </w:r>
    </w:p>
    <w:p>
      <w:r>
        <w:t>Die Beschwerdegegnerin macht geltend, der Verzug könne nicht am Tag des Urteils A-2607/2009 des Bundesverwaltungsgerichts eingetreten sein, da sie mit der Beschwerdeführerin keinen Verfalltag vereinbart habe.</w:t>
      </w:r>
    </w:p>
    <w:p>
      <w:r>
        <w:rPr>
          <w:b/>
        </w:rPr>
        <w:t>E. 7.3.1</w:t>
      </w:r>
    </w:p>
    <w:p>
      <w:r>
        <w:t>Die Beschwerdeführerin reichte im vorliegenden Beschwerdeverfahren - wie bereits im vorinstanzlichen Verfahren - drei Schreiben an die Beschwerdegegnerin aus der Zeit vor dem Ergehen des Urteils A-2607/2009 des Bundesverwaltungsgerichts ein. In zweien dieser Schreiben weist sie darauf hin, sie begleiche die konkret betroffenen und alle nachfolgenden SDL-Akontorechnungen nur unter dem ausdrücklichen Vorbehalt, dass eine allfällige gerichtliche Überprüfung der Kostentragungspflicht nach aArt. 31 b Abs. 2 StromVV zu keinem von diesen Rechnungen abweichenden Ergebnis führe. Im dritten Schreiben erklärt sie, die Zahlungen erfolgten ohne Präjudiz für künftige Forderungen der Beschwerdegegnerin, unter Protest und unter dem ausdrücklichen Vorbehalt, eventuell zu viel bezahlte Beträge zurückzufordern resp. mit künftigen Rechnungen der Beschwerdegegnerin zu verrechnen. In einem weiteren, im vorinstanzlichen Verfahren eingereichten Schreiben an die Beschwerdegegnerin vom 20. August 2009 weist sie darauf hin, sie habe die bisherigen SDL-Akontozahlungen unter Vorbehalt geleistet und werde künftige Zahlungen ebenfalls unter Vorbehalt leisten.</w:t>
      </w:r>
    </w:p>
    <w:p>
      <w:r>
        <w:rPr>
          <w:b/>
        </w:rPr>
        <w:t>E. 7.3.2</w:t>
      </w:r>
    </w:p>
    <w:p>
      <w:r>
        <w:t>Aus diesen Schreiben geht nicht hervor, dass die Beschwerdegegnerin ihr bezahlte SDL-Akontobeträge ohne besonderen Hinweis zurückzuerstatten habe, wenn in einem Verfahren festgestellt werden sollte, sie seien zu Unrecht entrichtet worden. Das dritte Schreiben legt vielmehr nahe, die Beschwerdeführerin werde die entsprechenden Beträge in einem solchen Fall ausdrücklich zurückfordern oder sie von künftigen Rechnungsbeträgen in Abzug bringen. Die Schreiben lassen somit sowohl offen, ob die Beschwerdegegnerin solche Beträge überhaupt zurückzahlen müsste - oder die Beschwerdeführerin sie stattdessen verrechnen würde -, als auch, wann die Rückzahlung gegebenenfalls zu erfolgen hätte. Sie können daher nicht dahingehend interpretiert werden, die Beschwerdeführerin verlange die Rückerstattung solcher Beträge zu einem bestimmten Zeitpunkt bzw. an einem bestimmten Tag. Mangels einer entsprechenden Willensäusserung können die Vorbehaltsschreiben von vornherein nicht als Grundlage für eine Verfalltagsvereinbarung herangezogen werden, wie sie die Beschwerdeführerin in der Beschwerde geltend macht. Ebenso wenig musste die Beschwerdegegnerin aufgrund dieser Schreiben nach Treu und Glauben davon ausgehen, mit dem Urteil A-2607/2009 des Bundesverwaltungsgerichts sei sie automatisch und ohne Mahnung der Beschwerdeführerin in Verzug geraten. Deren Vorbringen erweist sich demnach bereits aus diesen Gründen als unzutreffend, weshalb nicht weiter darauf eingegangen zu werden braucht.</w:t>
      </w:r>
    </w:p>
    <w:p>
      <w:r>
        <w:rPr>
          <w:b/>
        </w:rPr>
        <w:t>E. 7.3.3</w:t>
      </w:r>
    </w:p>
    <w:p>
      <w:r>
        <w:t>Damit bleibt es beim Zeitpunkt, den die Vorinstanz in der angefochtenen Verfügung für den Verzugseintritt als massgeblich erachtete, d.h. beim 13. Dezember 2010, ist doch, wie erwähnt (vgl. E. 1.3.2), unbestritten, dass die Beschwerdegegnerin ab diesem Zeitpunkt einen Verzugszins von 5 % zu entrichten hatte. Zu prüfen bleibt, ob die Beschwerdeführerin bis zu diesem Zeitpunkt einen Anspruch auf Bereicherungszins hat. Bereicherungszins</w:t>
      </w:r>
    </w:p>
    <w:p>
      <w:r>
        <w:rPr>
          <w:b/>
        </w:rPr>
        <w:t>E. 8.1</w:t>
      </w:r>
    </w:p>
    <w:p>
      <w:r>
        <w:t>Die Beschwerdeführerin bringt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einen Zins gezogen, der nach den Regeln des Bereicherungsrechts Bestandteil der Bereicherungsforderung bilde und an sie herauszugeben sei. Daran änderten die Einwände der Vorinstanz und der Beschwerdegegnerin nichts. Insbesondere hätten die Akontozahlungen dieser direkt Kapital zugeführt und deren betriebsnotwendiges Vermögen bzw. deren Nettoumlaufvermögen (NUV) erhöht; wie sie intern verbucht und ob sie zur Begleichung laufender Rechnungen verwendet worden seien, spiele keine Rolle. Aus einem Schreiben der Beschwerdegegnerin vom 9. Februar 2011 gehe im Übrigen hervor, dass die Vorinstanz ursprünglich eine WACC-Verzinsung der gesamten Akontozahlungen anerkannt habe. Sollte für die Verzinsung nicht auf den WACC abzustellen sein, habe ihr die Beschwerdegegnerin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ihr in dieser Hinsicht eine Mitwirkungspflicht, sei sie bereit, den Beweis dafür anzutreten, dass der Beschwerdegegnerin Finanzierungskosten mindestens in der Höhe des beantragten Bereicherungszinses entstanden wären, wenn sie im Frühjahr 2009 innert kürzester Zeit die von ihr und weiteren grösseren Kraftwerkbetreiberinnen geleisteten Beträge auf dem Kapitalmarkt hätte beschaffen müssen.</w:t>
      </w:r>
    </w:p>
    <w:p>
      <w:r>
        <w:rPr>
          <w:b/>
        </w:rPr>
        <w:t>E. 8.2</w:t>
      </w:r>
    </w:p>
    <w:p>
      <w:r>
        <w:t>Die Beschwerdegegnerin macht geltend, die von der Beschwerdeführerin geleisteten SDL-Akontozahlungen hätten nicht zu einer Erhöhung ihres betriebsnotwendigen Vermögens geführt. Dessen Verzinsung mit dem WACC begründe daher keinen bereicherungsrechtlichen Anspruch der Beschwerdeführerin.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 Die Beschwerdeführerin übersehe, dass zwischen dem betriebsnotwendigen Vermögen, welches mit dem WACC verzinst werde, und jenem, das in ihren Büchern ausgewiesen sei, unterschieden werden müsse.</w:t>
      </w:r>
    </w:p>
    <w:p>
      <w:r>
        <w:rPr>
          <w:b/>
        </w:rPr>
        <w:t>E. 8.3</w:t>
      </w:r>
    </w:p>
    <w:p>
      <w:r>
        <w:t>Die Vorinstanz bringt vor, beim Betrag, der sich durch die Verzinsung der für den Betrieb des Übertragungsnetzes notwendigen Vermögenswerte mit dem WACC ergebe, handle es sich nicht um eine ungerechtfertigte Bereicherung, welche die Beschwerdegegnerin der Beschwerdeführerin zurückzuerstatten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Beschwerdegegnerin hätte im Übrigen selbst dann einen Verzinsungsanspruch gehabt, wenn die Beschwerdeführerin keine Akontozahlungen geleistet hätte, da sie berechtigt gewesen wäre, die dadurch entstehende Unterdeckung mit dem WACC zu verzinsen. Dass sie ursprünglich eine WACC-Verzinsung der SDL-Akontozahlungen anerkannt habe, treffe im Übrigen nicht zu.</w:t>
      </w:r>
    </w:p>
    <w:p>
      <w:r>
        <w:rPr>
          <w:b/>
        </w:rPr>
        <w:t>E. 8.4.1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8.4.2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8.5.1).</w:t>
      </w:r>
    </w:p>
    <w:p>
      <w:r>
        <w:rPr>
          <w:b/>
        </w:rPr>
        <w:t>E. 8.4.3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8.5.1</w:t>
      </w:r>
    </w:p>
    <w:p>
      <w:r>
        <w:t>Die Beschwerdeführerin bringt zwar, wie dargelegt (vgl. E. 8.1), vor, die Beschwerdegegnerin habe auf den SDL-Akontozahlungen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 erhebt somit keinen Anspruch auf einen Bereicherungszins im vorstehend erwähnten Sinn (vgl. E. 8.4.2). Vielmehr stützt sie den geltend gemachten bereicherungsrechtlichen Anspruch auf Verzinsung der rechtsgrundlos geleisteten SDL-Akontozahlungen mit dem WACC auf den stromversorgungsrechtlichen Mechanismus der Verzinsung des NUV. Dies vermag nicht zu überzeugen.</w:t>
      </w:r>
    </w:p>
    <w:p>
      <w:r>
        <w:rPr>
          <w:b/>
        </w:rPr>
        <w:t>E. 8.5.2</w:t>
      </w:r>
    </w:p>
    <w:p>
      <w:r>
        <w:t>Vorliegend ist unbestritten, dass die Beschwerdegegnerin bei einer Zahlungsverweigerung der Beschwerdeführerin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 bezüglich der geleisteten Zahlungen tat. Ihre Vermögenssituation ohne diese Zahlungen hätte sich insoweit somit nicht von der Vermögenssituation unterschieden, die gemäss der Beschwerdeführerin mit diesen Zahlungen bestand. Selbst wenn das NUV der Beschwerdegegnerin durch diese Zahlungen tatsächlich um deren Umfang erhöht worden sein sollte - was die Beschwerdeführerin allerdings lediglich mehr oder weniger pauschal behauptet - und diese dadurch indirekt in der erwähnten Weise mit dem WACC verzinst worden sein sollten, wäre demnach eine Bereicherung der Beschwerdegegnerin im vorstehend dargelegten Sinn (vgl. E. 8.4.3) zu verneinen, da gegenüber der Situation ohne diese Zahlungen insoweit keine Vermögensdifferenz bestünde. Das Vorbringen der Beschwerdeführerin erweist sich somit bereits aus diesem Grund als unzutreffend, weshalb nicht weiter darauf eingegangen zu werden braucht.</w:t>
      </w:r>
    </w:p>
    <w:p>
      <w:r>
        <w:rPr>
          <w:b/>
        </w:rPr>
        <w:t>E. 8.5.3</w:t>
      </w:r>
    </w:p>
    <w:p>
      <w:r>
        <w:t>An diesem Ergebnis vermag im Übrigen auch das von der Beschwerdeführerin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 bzw. der weiteren betroffenen Kraftwerkbetreiberinnen auf einen Bereicherungszins in der Höhe des WACC auf den entrichteten SDL-Akontozahlungen anerkannte.</w:t>
      </w:r>
    </w:p>
    <w:p>
      <w:r>
        <w:rPr>
          <w:b/>
        </w:rPr>
        <w:t>E. 8.6.1</w:t>
      </w:r>
    </w:p>
    <w:p>
      <w:r>
        <w:t>Soweit die Beschwerdeführerin alternativ geltend macht, die Beschwerdegegnerin habe durch ihre SDL-Akontozahlungen die Aufnahme von Kapital auf dem Kapitalmarkt und damit Finanzierungskosten mindestens in der Höhe des von ihr geforderten Bereicherungszinses vermieden, macht sie zwar eine Ersparnisbereicherung der Beschwerdegegnerin geltend (vgl. E. 8.4.3). Auch dieses Vorbringen vermag jedoch nicht zu überzeugen.</w:t>
      </w:r>
    </w:p>
    <w:p>
      <w:r>
        <w:rPr>
          <w:b/>
        </w:rPr>
        <w:t>E. 8.6.2</w:t>
      </w:r>
    </w:p>
    <w:p>
      <w:r>
        <w:t>Wie dargelegt (vgl. E. 8.5.2), hätte die Beschwerdegegnerin bei einer Zahlungsverweigerung der Beschwerdeführerin die daraus resultierende Unterdeckung rechnerisch mit dem WACC verzinsen und den berechneten Zins über den SDL-Tarif den zur Kostentragung Verpflichteten anlasten können. Den Finanzierungskosten, die ihr nach Ansicht der Beschwerdeführerin ohne die SDL-Akontozahlungen entstanden wären, wären somit die aus dem stromversorgungsrechtlichen Mechanismus der Verzinsung von Unterdeckungen resultierenden Erträge gegenübergestanden. Eine Ersparnisbereicherung in dem Sinn, wie sie die Beschwerdeführerin mehr oder weniger pauschal geltend macht, käme somit nur in Betracht, wenn die angeblichen Finanzierungskosten höher ausgefallen wären als diese Erträge. Solches wird von der Beschwerdeführerin, die sich zu dieser Frage nicht äussert, allerdings weder explizit noch implizit geltend gemacht und entsprechend in keiner Weise substantiiert. Vielmehr begnügt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ihr im vorliegenden Beschwerdeverfahren geltend gemachte Bereicherungsforderung.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 Beusch/Kneubühler, a.a.O., Rz. 3.120) nicht, weshalb insoweit nicht weiter auf ihr Vorbringen eingegangen zu werden braucht.</w:t>
      </w:r>
    </w:p>
    <w:p>
      <w:r>
        <w:rPr>
          <w:b/>
        </w:rPr>
        <w:t>E. 8.6.3</w:t>
      </w:r>
    </w:p>
    <w:p>
      <w:r>
        <w:t>Damit erweist sich auch dieses Vorbringen und entsprechend das Begehren der Beschwerdeführerin, ihre Rückerstattungsforderungen für die SDL-Akontozahlungen seien ab deren Entrichtung bis zum Verzugseintritt mit dem WACC zu verzinsen, insgesamt als unbegründet. Ihre Eventualbegehren (Rechtsbegehren 1.ii und 2.ii) und ihre Subeventualbegehren (Rechtsbegehren 1.iii und 2.iii) sind daher abzuweisen. Neuverlegung Verfahrenskosten (Rechtsbegehren 3)</w:t>
      </w:r>
    </w:p>
    <w:p>
      <w:r>
        <w:rPr>
          <w:b/>
        </w:rPr>
        <w:t>E. 9.1</w:t>
      </w:r>
    </w:p>
    <w:p>
      <w:r>
        <w:t>Wie erwähnt (vgl. Bst. I), beantragt die Beschwerdeführerin, es seien die Kosten des vorinstanzlichen Verfahrens neu (vollumfänglich) der Beschwerdegegnerin aufzuerlegen (vgl. Rechtsbegehren 3). Zwar begründet sie dieses Begehren nicht; es ist jedoch davon auszugehen, sie erachte die Beschwerdegegnerin bei einer Gutheissung der Rechtsbegehren 1.i und 2.i als im vorinstanzlichen Verfahren vollumfänglich - statt bloss teilweise - unterliegend.</w:t>
      </w:r>
    </w:p>
    <w:p>
      <w:r>
        <w:rPr>
          <w:b/>
        </w:rPr>
        <w:t>E. 9.2</w:t>
      </w:r>
    </w:p>
    <w:p>
      <w:r>
        <w:t>Wie dargelegt, sind die Rechtsbegehren 1.i und 2.i abzuweisen. Gleiches gilt für die Eventualbegehren (Rechtsbegehren 1.ii und 2.ii) und die Subeventualbegehren (Rechtsbegehren 1.iii und 2.iii).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10</w:t>
      </w:r>
    </w:p>
    <w:p>
      <w:r>
        <w:t>Damit erweisen sich sämtliche Hauptbegehren der Beschwerdeführerin als unbegründet. Gleiches gilt für deren Eventualbegehren (Rechtsbegehren 1.ii und 2.ii) und Subeventualbegehren (Rechtsbegehren 1.iii und 2.iii). Die Beschwerde ist daher abzuweisen, soweit darauf eingetreten werden kann. Kosten und Entschädigung</w:t>
      </w:r>
    </w:p>
    <w:p>
      <w:r>
        <w:rPr>
          <w:b/>
        </w:rPr>
        <w:t>E. 11.1</w:t>
      </w:r>
    </w:p>
    <w:p>
      <w:r>
        <w:t>Bei diesem Verfahrensausgang gilt die Beschwerdeführerin als unterliegend. Sie hat deshalb die auf Fr. 3'000.-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11.2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