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A-1746/2016 vom 17. Januar 2017</w:t>
      </w:r>
    </w:p>
    <w:p>
      <w:r>
        <w:t>Bundesverwaltungsgericht, 2017-01-17, DE</w:t>
      </w:r>
    </w:p>
    <w:p>
      <w:r>
        <w:rPr>
          <w:b/>
        </w:rPr>
        <w:t xml:space="preserve">Quelle: </w:t>
      </w:r>
      <w:r>
        <w:t>https://mcp.opencaselaw.ch/entscheid/bvger_A-1746_2016</w:t>
      </w:r>
    </w:p>
    <w:p>
      <w:r>
        <w:t>FR: TAF A-1746/2016 du 17 janvier 2017</w:t>
      </w:r>
    </w:p>
    <w:p>
      <w:r>
        <w:t>IT: TAF A-1746/2016 del 17 gennaio 2017</w:t>
      </w:r>
    </w:p>
    <w:p>
      <w:pPr>
        <w:pStyle w:val="Heading2"/>
      </w:pPr>
      <w:r>
        <w:t>Regeste</w:t>
      </w:r>
    </w:p>
    <w:p>
      <w:r>
        <w:t>Mineralölsteuer</w:t>
      </w:r>
    </w:p>
    <w:p>
      <w:pPr>
        <w:pStyle w:val="Heading2"/>
      </w:pPr>
      <w:r>
        <w:t>Erwägungen</w:t>
      </w:r>
    </w:p>
    <w:p>
      <w:r>
        <w:rPr>
          <w:b/>
        </w:rPr>
        <w:t>E. 1.1</w:t>
      </w:r>
    </w:p>
    <w:p>
      <w:r>
        <w:t>Nicht erstinstanzliche Entscheide der Zollkreisdirektionen können beim Bundesverwaltungsgericht angefochten werden (Art. 31 i.V.m. Art. 33 Bst. d VGG; Art. 116 des Zollgesetzes vom 18. März 2005 [ZG; SR 631.0]; vgl. zur Frage der funktionellen Zuständigkeit des Bundesverwaltungsgerichts: Urteil des BVGer A5069/2010 vom 28. April 2011 E. 1.2 sowie E. 3.2 des vorliegenden Entscheids). Im Verfahren vor dieser Instanz wird die Zollverwaltung durch die Oberzolldirektion vertreten (Art. 116 Abs. 2 ZG). Das Verfahren richtet sich nach den Vorschriften des VwVG, soweit das VGG nichts anderes bestimmt (Art. 37 VGG; Art. 2 Abs. 4 VwVG; zum Ganzen: Urteil des BVGer A-2477/2016 vom 20. Oktober 2016 E. 1.1).</w:t>
      </w:r>
    </w:p>
    <w:p>
      <w:r>
        <w:rPr>
          <w:b/>
        </w:rPr>
        <w:t>E. 1.2</w:t>
      </w:r>
    </w:p>
    <w:p>
      <w:r>
        <w:t>Die Beschwerdeführerin ist durch die angefochtene Verfügung vom 19. Februar 2016 (vgl. Sachverhalt Bst. A.g) berührt und hat ein schutzwürdiges Interesse an deren Aufhebung (Art. 48 VwVG). Auf die im Übrigen frist- und formgerecht (Art. 50 Abs. 1 und 52 Abs. 1 VwVG)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Urteil des BVGer A-5216/2014 vom 23. April 2015 E. 1.3).</w:t>
      </w:r>
    </w:p>
    <w:p>
      <w:r>
        <w:rPr>
          <w:b/>
        </w:rPr>
        <w:t>E. 1.4</w:t>
      </w:r>
    </w:p>
    <w:p>
      <w:r>
        <w:t>Im Beschwerdeverfahren vor dem Bundesverwaltungsgericht ist wie im verwaltungsinternen Verfahren des Bundes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(André Moser/Michael Beusch/Lorenz Kneubühler, Prozessieren vor dem Bundesverwaltungsgericht, 2. Aufl., 2013, Rz. 1.49). Die Beschwerdeinstanz ist jedenfalls nicht verpflichtet, über die tatsächlichen Vorbringen der Parteien hinaus den Sachverhalt vollkommen neu zu erforschen (BGE 122 V 157 E. 1a; BGE 121 V 204 E. 6c; BVGE 2007/27 E. 3.3; vgl. Urteil des BVGer A-5061/2014 vom 26. Oktober 2015 E. 2.2; Moser/Beusch/ Kneubühler, a.a.O., Rz. 1.52).</w:t>
      </w:r>
    </w:p>
    <w:p>
      <w:r>
        <w:rPr>
          <w:b/>
        </w:rPr>
        <w:t>E. 1.5.1</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Moser/Beusch/Kneubühler, a.a.O., Rz.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(Urteil des BVGer A-992/2012 vom 6. August 2012 E. 1.4.1 mit Hinweisen; zum Ganzen: Urteil des BVGer A-5216/2014 vom 23. April 2015 E. 1.5.1 m.w.H).</w:t>
      </w:r>
    </w:p>
    <w:p>
      <w:r>
        <w:rPr>
          <w:b/>
        </w:rPr>
        <w:t>E. 1.5.2</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 des BVGer A-3119/2014 vom 27. Oktober 2014 E. 2.5; Moser/ Beusch/Kneubühler, a.a.O., Rz. 3.149 ff.). Abgesehen von Besonderheiten, welche die Natur des im Zollrecht geltenden Selbstdeklarationsprinzips (vgl. E. 2.2.1)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(statt vieler: Urteil des BVGer A-5216/2014 vom 23. April 2015 E. 1.5.2).</w:t>
      </w:r>
    </w:p>
    <w:p>
      <w:r>
        <w:rPr>
          <w:b/>
        </w:rPr>
        <w:t>E. 1.5.3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140 III 610 E. 4.3.4; BGE 132 III 715 E. 3.1; BGE 130 III 321 E. 3.2). Verlangt wird ein so hoher Grad der Wahrscheinlichkeit, dass vernünftigerweise mit der Möglichkeit des Gegenteils nicht mehr zu rechnen ist. Demgegenüber stellt das Beweismass der überwiegenden Wahrscheinlichkeit eine Beweiserleichterung dar und genügt nicht für den Vollbeweis (BGE 140 III 610 E. 4.1 m.w.H.; Urteil des BVGer A-6660/2011 vom 29. Mai 2012 E. 4.2.3; Moser/Beusch/Kneubühler, a.a.O., Rz. 3.140 f.; zum Ganzen: Urteil des BVGer A-5216/2014 vom 23. April 2015 E. 1.5.3 m.w.H.).</w:t>
      </w:r>
    </w:p>
    <w:p>
      <w:r>
        <w:rPr>
          <w:b/>
        </w:rPr>
        <w:t>E. 1.5.4</w:t>
      </w:r>
    </w:p>
    <w:p>
      <w:r>
        <w:t>Hinsichtlich des Zollveranlagungsverfahrens ist an Beweismittel, die im Rahmen einer Beschwerde eingereicht werden, ein strenges Beweismass anzulegen (vgl. Urteil des BVGer A-6660/2011 vom 29. Mai 2012 E. 4.2.3). Die eingereichten Beweismittel müssen die behauptete Tatsache mit hinreichender Sicherheit belegen. Eine nur überwiegende Wahrscheinlichkeit genügt nicht (BGE 109 Ib 190 E. 1d; vgl. Urteile des BVGer A-6660/2011 vom 29. Mai 2012 E. 4.2.3 und A-5595/2007 vom 8. Dezember 2009 E. 2.6; vgl. zum Ganzen: Urteil des BVGer A-5216/2014 vom 23. April 2015 E. 1.5.3).</w:t>
      </w:r>
    </w:p>
    <w:p>
      <w:r>
        <w:rPr>
          <w:b/>
        </w:rPr>
        <w:t>E. 1.5.5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zum Ganzen: Urteil des BVGer A-5216/2014 vom 23. April 2015 E. 1.5.4).</w:t>
      </w:r>
    </w:p>
    <w:p>
      <w:r>
        <w:rPr>
          <w:b/>
        </w:rPr>
        <w:t>E. 2.1</w:t>
      </w:r>
    </w:p>
    <w:p>
      <w:r>
        <w:t>Jede Wareneinfuhr über die schweizerische Zollgrenze unterliegt grundsätzlich der Zollpflicht (vgl. Art. 7 ZG). Die Waren müssen nach dem ZG sowie nach dem Zolltarifgesetz vom 9. Oktober 1986 (ZTG; SR 632.10) veranlagt werden. Jede Überführung in ein Zollverfahren - als solches gilt beispielsweise auch die Überführung in den zollrechtlich freien Verkehr - bedarf unabhängig vom Status einer Ware einer Zollanmeldung (vgl. Art. 47 Abs. 1 und 2 ZG; Patrick Raedersdorf, in: Martin Kocher/Diego Clavadetscher [Hrsg.], Handkommentar zum Zollgesetz [ZG], 2009, [nachfolgend: Zollkommentar], Art. 33 N. 1).</w:t>
      </w:r>
    </w:p>
    <w:p>
      <w:r>
        <w:rPr>
          <w:b/>
        </w:rPr>
        <w:t>E. 2.2</w:t>
      </w:r>
    </w:p>
    <w:p>
      <w:r>
        <w:t>Bei der Zollanmeldung (Deklaration) handelt es sich um eine Erklärung, mit welcher die anmeldepflichtige Person einerseits ihr Wissen über die jeweilige Ware mitteilt und andererseits formgerecht ihren Willen bekundet, die Ware nach Massgabe eines gesetzlichen Zollverfahrens abfertigen zu lassen (vgl. Urteil des BVGer A-201/2015 vom 29. Juni 2015 E. 2.3.1; Botschaft ZG, BBl 2004 567, 602; Barbara Schmid, in: Zollkommentar, Art. 18 N. 2 f.; Raedersdorf, in: Zollkommentar, Art. 33 N. 1).</w:t>
      </w:r>
    </w:p>
    <w:p>
      <w:r>
        <w:rPr>
          <w:b/>
        </w:rPr>
        <w:t>E. 2.2.1</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BGE 112 IV 53 E. 1a; statt vieler: Urteil des BVGer A-201/2015 vom 29. Juni 2015 E. 2.3.1; Schmid, in: Zollkommentar, Art. 18 N. 3 f. m.w.H.). Die Verantwortung für eine ordnungsgemässe - d.h. vollständige und richtige - Anmeldung liegt bei der anmeldepflichtigen Person (statt vieler: Urteil des BVGer A-2177/2016 vom 19. Juli 2016 E. 2.1).</w:t>
      </w:r>
    </w:p>
    <w:p>
      <w:r>
        <w:rPr>
          <w:b/>
        </w:rPr>
        <w:t>E. 2.2.2</w:t>
      </w:r>
    </w:p>
    <w:p>
      <w:r>
        <w:t>Gemäss Art. 32 Abs. 1 ZG kann die Zollstelle umfassend oder stichprobenweise prüfen, ob die Zollanmeldung formell richtig sowie vollständig ist und ob die erforderlichen Beweisdokumente vorliegen (Art. 32 Abs. 1 ZG). Die formelle Prüfung der Deklaration ist somit nicht mehr obligatorisch (Botschaft ZG, BBl 2004 567, 616 f.). Werden formelle Fehler oder Unvollständigkeiten festgestellt, weist die Zollstelle die Zollanmeldung zur Berichtigung oder Ergänzung zurück. Stellt sie offensichtliche Fehler fest, so berichtigt sie diese im Einvernehmen mit der anmeldepflichtigen Person (Art. 32 Abs. 2 ZG). Allerdings kann die anmeldepflichtige Person keine Rechte daraus ableiten, wenn die Zollstelle einen vorhandenen Mangel nicht festgestellt und die Zollanmeldung nicht zurückgewiesen hat (Art. 32 Abs. 3 ZG). Die summarische Prüfung bei der elektronischen Zollanmeldung umfasst eine Prüfung der Plausibilität der von der anmeldepflichtigen Person übermittelten Zollanmeldung durch das elektronische Datenverarbeitungssystem der Zollverwaltung (Art. 84 Bst. a der Zollverordnung vom 1. November 2006 [ZV; SR 631.01])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Raedersdorf, in: Zollkommentar, Art. 32 N. 7; Botschaft ZG, BBl 2004 567, 616; zum Ganzen: Urteil des BVGer A-201/2015 vom 29. Juni 2015 E. 2.3.1).</w:t>
      </w:r>
    </w:p>
    <w:p>
      <w:r>
        <w:rPr>
          <w:b/>
        </w:rPr>
        <w:t>E. 2.2.3</w:t>
      </w:r>
    </w:p>
    <w:p>
      <w:r>
        <w:t>Mit der Annahme durch die Zollstelle wird die Zollanmeldung für die anmeldepflichtige Person verbindlich (Art. 33 Abs. 1 ZG) und grundsätzlich unabänderlich (vgl. jedoch nachfolgend E. 2.2.5). Sie bildet, vorbehältlich der Beschau, die Grundlage für die Festsetzung der Zölle und weiteren Abgaben. Dieser Grundsatz der Unabänderlichkeit der angenommenen Zollanmeldung stellt einen Eckpfeiler des schweizerischen Zollrechts dar (Raedersdorf, in: Zollkommentar, Art. 33 N. 2 und Art. 34 N. 1).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Das EDV-System fügt der elektronischen Zollanmeldung Annahmedatum und Annahmezeit hinzu. Die angenommene Zollanmeldung ist für die anmeldepflichtige Person auch bei allfälligen Widersprüchen oder Zweideutigkeiten zur Ware oder zu den Begleitdokumenten verbindlich. Damit stellt die elektronische Anmeldung höhere Anforderungen an die Sorgfaltspflicht der Zollbeteiligten (zum Ganzen: Urteil des BVGer A-5216/2014 vom 13. April 2015 E. 2.4; Raedersdorf, in: Zollkommentar Art 33 N. 6).</w:t>
      </w:r>
    </w:p>
    <w:p>
      <w:r>
        <w:rPr>
          <w:b/>
        </w:rPr>
        <w:t>E. 2.2.4</w:t>
      </w:r>
    </w:p>
    <w:p>
      <w:r>
        <w:t>Nach der Annahme der elektronischen Zollanmeldung führt das EDV-System der EZV eine Selektion auf der Grundlage einer Risikoanalyse durch (Art. 17 Abs. 1 ZV-EZV). Lautet das Selektionsergebnis auf «ge-sperrt», so muss die anmeldepflichtige Person der Zollstelle einen Aus-druck der Zollanmeldung und die erforderlichen Begleitdokumente vorle-gen. Die Waren dürfen erst abtransportiert werden, wenn die Zollstelle sie freigegeben hat (Art. 40 Abs. 2 ZG, Art. 17 Abs. 2 ZV-EZV). Die Zollstelle gibt veranlagte Waren aufgrund der Veranlagungsverfügung oder eines anderen von der Zollverwaltung zu bestimmenden Dokuments frei (Art. 40 Abs. 1 ZG). Mit der Freigabe der gestellten Waren durch die Zollstelle en-det der Gewahrsam der Zollverwaltung (Art. 78 ZV; vgl. zum Ganzen: Urteil des BVGer A-5216/2014 vom 13. April 2015 E. 2.4 m.w.H.).</w:t>
      </w:r>
    </w:p>
    <w:p>
      <w:r>
        <w:rPr>
          <w:b/>
        </w:rPr>
        <w:t>E. 2.2.5</w:t>
      </w:r>
    </w:p>
    <w:p>
      <w:r>
        <w:t>Bei der Revision des Zollgesetzes war sich der Gesetzgeber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erschienen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(Urteile des BVGer A-8199/2015 vom 6. Oktober 2016 E. 2.3; A-201/2015 vom 29. Juni 2015 E. 2.4; A-6660/2011 vom 29. Mai 2012 E. 3.1).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vgl. Urteile des BVGer A-2177/2016 vom 19. Juli 2016 E. 2.2.1 und A-5216/2014 vom 13. April 2015 E. 2.5). Gemäss Art. 34 Abs. 4 ZG gibt die Zollstelle dem Gesuch statt, wenn die anmeldepflichtige Person entweder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Umgekehrt bedeutet dies, dass sie das Gesuch abzulehnen hat, wenn sie die Voraussetzungen als nicht gegeben erachtet (Urteil des BVGer A-8199/2015 vom 6. Oktober 2016 E. 3.2.1). Gestützt auf Art. 34 Abs. 3 und 4 Bst. b ZG wird betreffend die Änderung der Veranlagung in Art. 89 ZV unter anderem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Urteil des BVGer A-8199/2015 vom 6. Oktober 2016 E. 2.4). Gemäss Botschaft zum Zollgesetz wird der Zollverwaltung durch Art. 34 Abs. 3 ZG ein gewisser Ermessensspielraum eingeräumt, um Fehler von Zollbeteiligten nachträglich in einer mit der Zollsicherheit vereinbaren Weise korrigieren zu können (BBl 2004 567, 618; zum Ganzen: Urteile des BVGer A-8199/2015 vom 6. Oktober 2016 E. 2.4 und A-1281/2015 vom 11. August 2015 E. 2.4.2).</w:t>
      </w:r>
    </w:p>
    <w:p>
      <w:r>
        <w:rPr>
          <w:b/>
        </w:rPr>
        <w:t>E. 2.2.6</w:t>
      </w:r>
    </w:p>
    <w:p>
      <w:r>
        <w:t>Sodann kann gegen Verfügungen der Zollstellen bei den Zollkreisdirektionen Beschwerde geführt werden (Art. 116 Abs. 1 ZG). Die Frist für die erste Beschwerde gegen die Veranlagung beträgt gemäss Art. 116 Abs. 3 ZG 60 Tage ab dem Ausstellen der Veranlagungsverfügung. Auf das Beschwerdeverfahren findet im Übrigen das VwVG Anwendung (Art. 116 Abs. 4 ZG). In Bezug auf die Beschwerdemöglichkeit nach Art. 116 ZG ist allerdings zu beachten, dass gemäss Rechtsprechung - insbesondere nach Ablauf der 30-tägigen Berichtigungsfrist (Art. 34 ZG) - nicht (mehr) zum Thema des ordentlichen Beschwerdeverfahrens gemacht werden kann, was bereits Gegenstand der Berichtigung gemäss Art. 34 ZG hätte bilden können (vgl. Urteil des BGer 2C_436/2015 vom 22. Juli 2016 E. 3.2.9 [zur Publikation vorgesehen]; Urteile des BVGer A-8199/ 2015 vom 6. Oktober 2016 E. 2.5; A-2177/2016 vom 19. Juli 2016 E. 2.2.1).</w:t>
      </w:r>
    </w:p>
    <w:p>
      <w:r>
        <w:rPr>
          <w:b/>
        </w:rPr>
        <w:t>E. 2.3.1</w:t>
      </w:r>
    </w:p>
    <w:p>
      <w:r>
        <w:t>Gemäss Art. 1 MinöStG erhebt der Bund eine Mineralölsteuer auf Erdöl, anderen Mineralölen, Erdgas und den bei ihrer Verarbeitung gewonnenen Produkten sowie auf Treibstoffen (Bst. a). Auf letzteren wird zusätzlich ein Mineralölsteuerzuschlag erhoben (Bst. b).</w:t>
      </w:r>
    </w:p>
    <w:p>
      <w:r>
        <w:rPr>
          <w:b/>
        </w:rPr>
        <w:t>E. 2.3.2</w:t>
      </w:r>
    </w:p>
    <w:p>
      <w:r>
        <w:t>Der Steuer unterliegt unter anderem die Einfuhr der in Art. 1 und 2 Abs. 1 und 2 MinöStG genannten Waren ins Inland (Art. 3 MinöStG). Wer solche Waren einführt, muss gleichzeitig mit der Zollanmeldung eine Steueranmeldung abgeben. Diese ist für die Person, die sie ausgestellt hat, als Grundlage für die Festsetzung des Steuerbetrages, verbindlich. Das Ergebnis einer amtlichen Prüfung bleibt dabei vorbehalten (Art. 21 Abs. 3 MinöStG). Die Steueranmeldung erfolgt schriftlich oder mittels elektronischer Datenverarbeitung (EDV) in der von der Oberzolldirekton vorgeschriebenen Form (Art. 36 Abs. 1 Bst. a und b MinöStV).</w:t>
      </w:r>
    </w:p>
    <w:p>
      <w:r>
        <w:rPr>
          <w:b/>
        </w:rPr>
        <w:t>E. 2.3.3</w:t>
      </w:r>
    </w:p>
    <w:p>
      <w:r>
        <w:t>Bei der Wareneinfuhr erfolgt die Steueranmeldung auf der Zollanmeldung nach den Weisungen der Oberzolldirektion (Art. 38 Abs. 1 MinöStV). Dabei ist insbesondere anzugeben, ob die Ware provisorisch oder definitiv angemeldet wird (Art. 38 Abs. 2 MinöStV).</w:t>
      </w:r>
    </w:p>
    <w:p>
      <w:r>
        <w:rPr>
          <w:b/>
        </w:rPr>
        <w:t>E. 2.3.4</w:t>
      </w:r>
    </w:p>
    <w:p>
      <w:r>
        <w:t>Die Steuerforderung entsteht mit der Überführung der Waren in den steuerrechtlich freien Verkehr (Art. 4 Abs. 1 MinöStG). Als solche gilt für Waren, die eingeführt werden, der Zeitpunkt der Überführung in den zollrechtlich freien Verkehr (Art. 4 Abs. 1 Bst. a MinöStG). Steuerbehörde ist die Eidgenössische Zollverwaltung (Art. 5 MinöStG). Steuerpflichtig sind unter anderen die Importeure (Art. 9 Bst. a MinöStG).</w:t>
      </w:r>
    </w:p>
    <w:p>
      <w:r>
        <w:rPr>
          <w:b/>
        </w:rPr>
        <w:t>E. 2.3.5</w:t>
      </w:r>
    </w:p>
    <w:p>
      <w:r>
        <w:t>Die Mineralölsteuer wird nach dem Tarif im Anhang 1 zum Mineralölsteuergesetz erhoben (Art. 12 Abs. 1 MinöStG). Der Mineralölsteuerzuschlag beträgt Fr. 300.-- je 1000 Liter bei 15 °C (Art. 12 Abs. 2 MinöStG; Art. 19 MinöStV).</w:t>
      </w:r>
    </w:p>
    <w:p>
      <w:r>
        <w:rPr>
          <w:b/>
        </w:rPr>
        <w:t>E. 2.3.6</w:t>
      </w:r>
    </w:p>
    <w:p>
      <w:r>
        <w:t>Waren, für die der Steuertarif je nach Verwendung unterschiedliche Sätze vorsieht, werden zum tieferen Satz besteuert, wenn die Person, die sie verwendet, vor Entstehung der Steuerforderung eine Verwendungsverpflichtung hinterlegt hat (Art. 14 Abs. 1 MinöStG). Gemäss Art. 14 Abs. 2 MinöStG muss, wer Waren liefert, welche zum tieferen Satz besteuert werden, eine Warenbuchhaltung führen (Bst. a) und dem Empfänger gegenüber einen Verwendungsvorbehalt anbringen (Bst. b). Nach Art. 15 Abs. 1 MinöStG muss, wer «Heizöl extraleicht» liefert, die Verpflichtungen nach Art. 14 Abs. 2 MinöStG einhalten.</w:t>
      </w:r>
    </w:p>
    <w:p>
      <w:r>
        <w:rPr>
          <w:b/>
        </w:rPr>
        <w:t>E. 2.3.7</w:t>
      </w:r>
    </w:p>
    <w:p>
      <w:r>
        <w:t>Gemäss Art. 15 Abs. 2 MinöStG gilt als «Heizöl extraleicht» Gasöl, das zu Feuerungszwecken bestimmt sowie gefärbt und gekennzeichnet ist. Produkte, die «Heizöl extraleicht» enthalten und nicht gefärbt und gekennzeichnet sind, werden zu dem für Dieselöl geltenden Satz besteuert (Art. 15 Abs. 2 MinöStG). Der Bundesrat bestimmt das Verfahren sowie die Art der Färbung und Kennzeichnung (Art. 15 Abs. 4 MinöStG). Gemäss Art. 89 Abs. 2 MinöStV müssen die jeweiligen Importeure «Heizöl extraleicht», das bei der Einfuhr nicht gefärbt und gekennzeichnet ist, vor der Entstehung der Steuerforderung - also vor Einführung der Ware in den zollrechtlich freien Verkehr (vgl. E. 2.3.4) - nach Art. 90 MinöStV färben und kennzeichnen. In letzterer Bestimmung wird festgehalten, welche Farbstoffe in welcher Konzentration zur Einfärbung zu verwenden sind und dass die Färbung gleichmässig verteilt sein muss.</w:t>
      </w:r>
    </w:p>
    <w:p>
      <w:r>
        <w:rPr>
          <w:b/>
        </w:rPr>
        <w:t>E. 2.3.8</w:t>
      </w:r>
    </w:p>
    <w:p>
      <w:r>
        <w:t>Für die Steuerbemessung sind Art, Menge und Beschaffenheit der Ware im Zeitpunkt massgebend, in dem die Steuerforderung entsteht (Art. 43 Abs. 1 MinöStV), also zum Zeitpunkt ihrer Überführung in den zollrechtlich freien Verkehr (vgl. E. 2.3.4).</w:t>
      </w:r>
    </w:p>
    <w:p>
      <w:r>
        <w:rPr>
          <w:b/>
        </w:rPr>
        <w:t>E. 2.3.9</w:t>
      </w:r>
    </w:p>
    <w:p>
      <w:r>
        <w:t>Wird die Steuer bei der Wareneinfuhr definitiv durch die Zollstelle veranlagt, so erfolgen die Veranlagung und die Zahlung nach der Zollgesetzgebung (Art. 44 Abs. 1 MinöStV; vgl. dazu vorangehend Sachverhalt Bst. A.b und E. 2.1 f.).</w:t>
      </w:r>
    </w:p>
    <w:p>
      <w:r>
        <w:rPr>
          <w:b/>
        </w:rPr>
        <w:t>E. 2.4.1</w:t>
      </w:r>
    </w:p>
    <w:p>
      <w:r>
        <w:t>Gemäss Art. 29 Abs. 1 des Bundesgesetzes vom 23. Dezember 2011 über die Reduktion der CO2-Emissionen (CO2-Gesetz; SR 641.71) erhebt der Bund eine CO2-Abgabe auf der Herstellung, Gewinnung und Einfuhr von Brennstoffen. Der der CO2-Abgabe unterliegen gemäss Art. 93 der Verordnung vom 30. November 2012 über die Reduktion der CO2-Emissionen (CO2-Verordnung; SR 641.711) die Herstellung, Gewinnung und Einfuhr von Kohle (Bst. a) sowie der übrigen Brennstoffe nach Art. 2 Abs. 1 des CO2-Gesetzes (Bst. b). Letztere allerdings nur, sofern sie der Mineralölsteuer nach Mineralölsteuergesetz unterstellt sind.</w:t>
      </w:r>
    </w:p>
    <w:p>
      <w:r>
        <w:rPr>
          <w:b/>
        </w:rPr>
        <w:t>E. 2.4.2</w:t>
      </w:r>
    </w:p>
    <w:p>
      <w:r>
        <w:t>Abgabepflichtig für die Abgabe auf fossilen Energieträgern (ausser Kohle) sind gemäss Art. 30 CO2-Gesetz die nach dem Mineralölsteuergesetz steuerpflichtigen Personen; also auch die Importeure (vgl. vorangehend E. 2.3.4).</w:t>
      </w:r>
    </w:p>
    <w:p>
      <w:r>
        <w:rPr>
          <w:b/>
        </w:rPr>
        <w:t>E. 2.4.3</w:t>
      </w:r>
    </w:p>
    <w:p>
      <w:r>
        <w:t>Gemäss Art. 33 Abs. 1 CO2-Gesetz gelten für die Erhebung der CO2-Abgabe die Verfahrensbestimmungen der Mineralölsteuergesetzgebung. Somit ist auch in diesem Punkt auf die vorangehenden Erwägungen zu verweisen (vgl. E. 2.3).</w:t>
      </w:r>
    </w:p>
    <w:p>
      <w:r>
        <w:rPr>
          <w:b/>
        </w:rPr>
        <w:t>E. 3.1</w:t>
      </w:r>
    </w:p>
    <w:p>
      <w:r>
        <w:t>Im vorliegenden Fall hat die Beschwerdeführerin zwischen dem 5. und dem 19. November 2015 «Dieselöl zur Verwendung als Treibstoff für Fahrzeuge» unter der Tarifnummer «2710.1912 Schl. 921» zur Einfuhr bzw. Veranlagung angemeldet (Sachverhalt Bst. A.a). Mit Eingabe vom 11. Dezember 2015 machte sie gegenüber der Zollstelle geltend, tatsächlich nicht Dieseltreibstoff, sondern Heizöl eingeführt zu haben (Sachverhalt Bst. A.c). Diese Eingabe wurde in der Folge von der Zollkreisdirektion - unter dem Hinweis, es handle sich um einen Antrag auf Korrektur der Tarifeinreihung - als «Beschwerde» gegen die Veranlagungsverfügung entgegengenommen und behandelt (Sachverhalt Bst. A.d - A.g). Dabei wurde verkannt, dass es sich insofern nicht um eine «Tarifstreitigkeit» handelt, als dass weder die Tarifierung von Dieselöl einerseits noch jene von Heizöl andererseits im Streit liegt. Vielmehr ist im vorliegenden Fall über die (Beweis-) Frage zu entscheiden, ob die Beschwerdeführerin tatsächlich - wie sie geltend macht - Heizöl eingeführt hatte, oder doch - wie ursprünglich angemeldet - Dieselöl (vgl. Urteil des BVGer A-992/2012 vom 6. August 2012 E. 3; vgl. nachfolgend E. 3.3).</w:t>
      </w:r>
    </w:p>
    <w:p>
      <w:r>
        <w:rPr>
          <w:b/>
        </w:rPr>
        <w:t>E. 3.2</w:t>
      </w:r>
    </w:p>
    <w:p>
      <w:r>
        <w:t>Vorab ist darauf hinzuweisen, dass die Beschwerdeführerin mit ihren Anträgen vom 11. Dezember 2015 an die Zollstelle sinngemäss das Vorliegen eines Tatbestandes von Art. 34 Abs. 3 ZG i.V.m. Art. 34 Abs. 4 Bst. b ZG geltend gemacht hat (vgl. dazu E. 2.2.5). Die Zollstelle hätte die Eingabe daher als Berichtigungsgesuch im Sinne dieses Artikels entgegennehmen und behandeln müssen. Sie hätte - unter Vorbehalt der Bejahung der Eintretensvoraussetzungen (wie beispielsweise die Wahrung der Berichtigungsfrist) - prüfen und mittels Verfügung erstmals darüber entscheiden müssen, ob zum Zeitpunkt der ursprünglichen Zollanmeldungen die materiellen und die formellen Voraussetzungen für die Gewährung der ersuchten Berichtigung erfüllt waren oder nicht (E. 2.2.5). Vor diesem Hintergrund erweist sich die Belehrung durch die Zollkreisdirektion in deren Schreiben vom 20. Januar 2016 an die Beschwerdeführerin, wonach die verlangte Änderung der Tarifnummer nur mit einer Verwaltungsbeschwerde erreicht werden könne, zumindest als ungenau. Wie ausgeführt (E. 3.1), liegt im hier zu beurteilenden Fall kein Tarifstreit vor, sondern es ist eine Frage der Zollanmeldung zu behandeln, die unter den vorliegenden Umständen Gegenstand der Zollberichtigung nach Art. 34 ZG bildet. Erst gegen eine allfällige verfügungsweise Behandlung des Berichtigungsgesuchs durch die Zollstelle hätte das Beschwerdeverfahren nach Art. 116 ZG offen gestanden (E. 1.1). Mit der direkten Weiterleitung an die Zollkreisdirektion wurde das Berichtigungsgesuch somit an eine funktional unzuständige Instanz überwiesen. Die Beschwerdeführerin ging dadurch - nur aber immerhin - einer verwaltungsinternen Instanz verlustig. Indessen braucht vorliegend nicht entschieden zu werden, ob dabei allenfalls gewisse Rechtsschutz- bzw. allgemeine Verfahrensgarantien tangiert worden sind. Im Licht des verfassungsrechtlichen Beschleunigungsgebots (Art. 29 Abs. 1 BV) ist das Interesse der Beschwerdeführerin an einem sofortigen Urteil des Bundesverwaltungsgerichts in der Sache unter den gegebenen Umständen in jedem Fall höher zu gewichten als ihr Interesse an einer Rückweisung an die Zollstelle zur formell korrekten (Erst-) Verfügung. Insbesondere ist davon auszugehen, dass der Beschwerdeführerin durch eine Rückweisung nur zusätzliche Kosten entstünden und sie in der Sache selbst nichts zu gewinnen hätte, zumal zumindest bekannt ist, wie die übergeordnete Zollkreisdirektion entscheiden würde (vgl. Urteil des BVGer 992/2012 vom 6. August 2012 E. 3.1). Es kommt hinzu, dass dem mit der Eingabe vom 11. Dezember 2015 gestellten Berichtigungsgesuch und dem Beschwerdebegehren - wie im Folgenden ersichtlich wird - bei materieller Beurteilung ohnehin nicht zu entsprechen ist. Eine Rückweisung käme somit einem prozessualen Leerlauf gleich, auf den zu verzichten ist (vgl. Urteile des BVGer A-2477/2016 vom 20. Oktober 2016 E. 3 und A-917/2014 vom 25. November 2014 E. 3.1; siehe dazu auch das zur Publikation vorgesehene Urteil des BGer 2C_436/2015 vom 22. Juli 2016 E. 3.4.3, wo es das höchste Gericht bei einer vergleichbaren Konstellation als vertretbar erachtete, dass die Zollstelle die Angelegenheit zur Eröffnung eines Beschwerdeverfahrens an die Zollkreisdirektion überwiesen hatte, obschon ein Berichtigungsverfahren hätte durchgeführt werden müssen). Das Gesagte gilt in erster Linie für Fälle, in welchen die 30-tägige Berichtigungsfrist (E. 2.2.5) eingehalten worden ist (zumal der Rechtsuchende hier grundsätzlich Anspruch auf einen materiellen Entscheid hat). Ob diese Frist im vorliegenden Fall mit Blick auf alle 17 Sendungen eingehalten worden ist, ist fraglich, zumal die betreffenden Veranlagungsverfügungen zwischen dem 5. und dem 20. November 2015 ergangen sind (wobei die Ware mit Erlass der Veranlagungsverfügung freigegeben wird, damit der Zollgewahrsam endet und die 30-tägige Berichtigungsfrist zu laufen beginnt; vgl. E. 2.2.4 f.) und das Berichtigungsgesuch (erst) am 11. Dezember 2015 gestellt worden ist (Sachverhalt Bst. A.c). Allerdings hätte die Beschwerdeführerin, mit Blick auf den Ausgang des vorliegenden Verfahrens, bei einer entsprechenden teilweisen Rückweisung (zwecks Erlasses eines Nichteintretensentscheides betreffend die Sendungen, für welche die Berichtigungsfrist allenfalls verpasst wurde), nur mit einem Rückweisungsentscheid ebenfalls nichts gewonnen, weshalb vorliegend auch auf eine solche Rückweisung zu verzichten ist.</w:t>
      </w:r>
    </w:p>
    <w:p>
      <w:r>
        <w:rPr>
          <w:b/>
        </w:rPr>
        <w:t>E. 3.3</w:t>
      </w:r>
    </w:p>
    <w:p>
      <w:r>
        <w:t>Die Beschwerdeführerin hat die strittige Ware selber als «Dieselöl zur Verwendung als Treibstoff für Fahrzeuge», belastet mit Mineralölsteuer zum Ansatz von Fr. 458.70 (je 1000 Liter bei 15°C) sowie Mineralölsteuerzuschlag zum Ansatz von Fr. 300.-- (je 1000 Liter bei 15°C), angemeldet (Sachverhalt Bst. A.a). Im Nachhinein hat sie geltend gemacht, statt Dieselöl «Heizöl extraleicht zu Feuerungszwecken», welches mit tieferen Abgaben belastet ist, ins Schweizer Zollgebiet eingeführt zu haben. Diesbezüglich obliegt ihr - entsprechend des in Erwägung 1.5.2 Dargelegten - die Beweislast. Gelingt ihr dieser Beweis nicht, ist von der Richtigkeit der Zollanmeldungen auszugehen.</w:t>
      </w:r>
    </w:p>
    <w:p>
      <w:r>
        <w:rPr>
          <w:b/>
        </w:rPr>
        <w:t>E. 3.3.1</w:t>
      </w:r>
    </w:p>
    <w:p>
      <w:r>
        <w:t>Wie die Vorinstanz im Rahmen ihrer Vernehmlassung festhält, lassen sich die von der Beschwerdeführerin als «Beweise» vorgelegten Dokumente zwar den jeweiligen Veranlagungsverfügungen zuordnen; doch sind diese Unterlagen nicht geeignet, den Nachweis zu erbringen, dass das zwischen dem 5. und dem 19. November 2015 von der Beschwerdeführerin eingeführte Gasöl effektiv und vorschriftsgemäss eingefärbt und gekennzeichnet war: Als belegende Dokumente legt die Beschwerdeführerin zwar zum einen drei Verkaufsbestätigungen der deutschen Lieferantin vor (zwei davon datierend vom 12. November und eine datierend vom 27. November 2015). Auf diesen Dokumenten ist als Produkt «Heizöl EL Öko Qualität» mit dem Vermerk «Gasoil reddyed 50 ppm» angegeben. Andererseits ist auf 13 der 17 eingereichten Proformarechnungen als Produkt «Heizöl EL ungef. Öko Qualität» vermerkt. In ihrer Gesamtheit sind die von der Beschwerdeführerin beigebrachten Unterlagen (siehe dazu Sachverhalt Bst. B.a) letztendlich jedoch ungeeignet, die effektive Beschaffenheit des fraglichen Produktes bzw. dessen Einfärbung zum Zeitpunkt der Einfuhr nachzuweisen. Die Beschwerdeführerin macht in ihrer unaufgefordert eingereichten Eingabe vom 22. Juli 2016 (vgl. Sachverhalt Bst. B.c) geltend, die Vorinstanz habe mit keinem Wort erwähnt, dass der Versender «den Sachverhalt bestätigt» habe und zudem bringe dieser ein Analyse-Zertifikat über die Einfärbung bei. Diesbezüglich ist festzuhalten, dass sich in den dem Gericht vorliegenden Akten kein derartiges Analyse-Zertifikat befindet. Allerdings würde auch ein Zertifikat mit solchem Inhalt nicht genügen, um die Nämlichkeit der analysierten Ware mit derjenigen, welche zwischen dem 5. und dem 19. November 2015 in die Schweiz importiert worden ist, nachzuweisen. Ebenso wenig beweiskräftig ist eine Bestätigung des Versenders, es habe sich bei den im Streit liegenden Sendungen um Heizöl gehandelt. Der Beschwerdeführerin wäre es indessen freigestanden, eine Beschau der Ware (vgl. Art. 37 ZG) anlässlich der Einfuhr zu beantragen, was ihr den Nachweis der behaupteten Einfärbung ohne weiteres ermöglicht hätte.</w:t>
      </w:r>
    </w:p>
    <w:p>
      <w:r>
        <w:rPr>
          <w:b/>
        </w:rPr>
        <w:t>E. 3.3.2</w:t>
      </w:r>
    </w:p>
    <w:p>
      <w:r>
        <w:t>Gesamthaft reichen die vorhandenen Unterlagen und Vorbringen nicht aus, um das Gericht mit hinreichender Sicherheit davon zu überzeugen, dass die Beschwerdeführerin zwischen dem 5. und 19. November 2015 - entgegen ihren grundsätzlich verbindlichen Angaben in den ursprünglichen Zollanmeldungen - vorschriftsgemäss eingefärbtes Heizöl importiert hat. Daran vermag auch die Aussage der Beschwerdeführerin, für eine «Befragung» zur Verfügung zu stehen, nichts zu ändern. Abgesehen davon, dass sie nur als Partei befragt und nicht als Zeugin einvernommen werden könnte (wollte sie hier denn einen Zeugenbeweis beantragen), wäre angesichts der unzweideutigen Aktenlage und der einschlägigen Rechtsprechung nicht anders zu entscheiden, selbst wenn die Beschwerdeführerin bei einer Befragung behaupten bzw. bestätigen würde, das Öl sei eingefärbt gewesen. Auf eine solche Befragung wäre in antizipierter Beweiswürdigung (vgl. E. 1.5.5) zu verzichten.</w:t>
      </w:r>
    </w:p>
    <w:p>
      <w:r>
        <w:rPr>
          <w:b/>
        </w:rPr>
        <w:t>E. 3.4</w:t>
      </w:r>
    </w:p>
    <w:p>
      <w:r>
        <w:t>Der Beschwerdeführerin misslingt der erforderliche Vollbeweis (E. 1.5.3 f.). Weil sie die Folgen dieser Beweislosigkeit selbst zu tragen hat (E. 1.5.2), bleiben ihre hier strittigen Zollanmeldungen sowie die entsprechenden Veranlagungsverfügungen der Zollstelle verbindlich. Nach dem Dargelegten ist die Beschwerde abzuweisen.</w:t>
      </w:r>
    </w:p>
    <w:p>
      <w:r>
        <w:rPr>
          <w:b/>
        </w:rPr>
        <w:t>E. 4</w:t>
      </w:r>
    </w:p>
    <w:p>
      <w:r>
        <w:t>Bei diesem Ausgang des Verfahrens hat die Beschwerdeführerin als unterliegende Partei die Verfahrenskosten zu tragen. Diese sind auf Fr. 8'500.--festzusetzen (Art. 63 Abs. 1 VwVG i.V.m. Art. 1 ff. des Reglements vom 21. Februar 2008 über die Kosten und Entschädigungen vor dem Bundesverwaltungsgericht [VGKE; SR 173.320.2]). Der in gleichem Umfang einbezahlte Kostenvorschuss ist zur Begleichung der Verfahrenskosten zu verwenden.</w:t>
      </w:r>
    </w:p>
    <w:p>
      <w:r>
        <w:rPr>
          <w:b/>
        </w:rPr>
        <w:t>E. 5</w:t>
      </w:r>
    </w:p>
    <w:p>
      <w:r>
        <w:t>Das Bundesverwaltungsgericht entscheidet über Tarifstreitigkeiten im Sinne von Art. 83 Bst. l BGG letztinstanzlich. Weil das vorliegende Urteil keine solche Tarifstreitigkeit betrifft, steht gemäss den einschlägigen Bestimmungen die Beschwerde in öffentlich-rechtlichen Angelegenheiten (Art. 82 ff., 90 ff. und 100 BGG) an das Bundesgericht offen. (Für das Dispositiv wird auf die 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