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A-1744/2013 vom 23. Juli 2013</w:t>
      </w:r>
    </w:p>
    <w:p>
      <w:r>
        <w:t>Bundesverwaltungsgericht, 2013-07-23, DE</w:t>
      </w:r>
    </w:p>
    <w:p>
      <w:r>
        <w:rPr>
          <w:b/>
        </w:rPr>
        <w:t xml:space="preserve">Quelle: </w:t>
      </w:r>
      <w:r>
        <w:t>https://mcp.opencaselaw.ch/entscheid/bvger_A-1744_2013</w:t>
      </w:r>
    </w:p>
    <w:p>
      <w:r>
        <w:t>FR: TAF A-1744/2013 du 23 juillet 2013</w:t>
      </w:r>
    </w:p>
    <w:p>
      <w:r>
        <w:t>IT: TAF A-1744/2013 del 23 luglio 2013</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w:t>
      </w:r>
    </w:p>
    <w:p>
      <w:r>
        <w:rPr>
          <w:b/>
        </w:rPr>
        <w:t>E. 2</w:t>
      </w:r>
    </w:p>
    <w:p>
      <w:r>
        <w:t>Im aufgehobenen Urteil des Verfahrens A-667/2010 ging das Bundesverwaltungsgericht davon aus, das Unterliegen der Beschwerdeführenden mit einzelnen Anträgen (beispielsweise bezüglich der Aufhebung der altrechtlichen Befristung sowie einer Sistierung des Verfahrens, vgl. Zwischenverfügung vom 31. Mai 2011) bewege sich im Umfang von einem Fünftel. Nach der Aufhebung dieses Entscheids steht fest, dass die Beschwerdeführenden als im Endurteil des Bundesverwaltungsgerichts vollumfänglich unterliegend gelten. An dieser Einschätzung ändern auch die in Zwischenverfügungen gutgeheissenen Anträge nichts; hiervon ist namentlich die Zwischenverfügung vom 8. Dezember 2010 zu nennen, in welcher ein Akteneinsichtsgesuch der Beschwerdeführenden teilweise gutgeheissen worden ist. Dies ist darin begründet, dass nebst diesem teilweise gutgeheissenen Akteneinsichtsgesuch auch verschiedene Verfahrensanträge abgewiesen wurden (vgl. für eine ausführliche Darstellung des Verfahrens den Sachverhalt des Urteils vom 1. März 2012) und den in Zwischenverfügungen gutgeheissenen Anträgen in einer Gesamtsicht des Verfahrens ein kleines Gewicht zukommt. Deshalb rechtfertigt es sich nicht, diese bei der Neuverlegung zu berücksichtigen.</w:t>
      </w:r>
    </w:p>
    <w:p>
      <w:r>
        <w:rPr>
          <w:b/>
        </w:rPr>
        <w:t>E. 3.1</w:t>
      </w:r>
    </w:p>
    <w:p>
      <w:r>
        <w:t>Die Verfahrenskosten setzte das Bundesverwaltungsgericht im aufgehobenen Urteil auf insgesamt Fr. 20'000. fest. Hierbei ging es davon aus, der Streitwert sei nicht genau bezifferbar und es gelte grundsätzlich der Gebührenrahmen für nicht vermögensrechtliche Streitigkeiten mit einer Obergrenze von Fr. 5'000. (Art. 63 Abs. 4bis VwVG sowie Art. 3 des Reglements vom 21. Februar 2008 über die Kosten und Entschädigungen vor dem Bundesverwaltungsgericht [VGKE, SR 173.320.2]). Jedoch könne das Gericht bei der Bestimmung der Gerichtsgebühr über den Höchstbetrag nach Art. 3 VGKE hinausgehen, wenn besondere Gründe, namentlich ausserordentlicher Aufwand, dies rechtfertigen würden (Art. 2 Abs. 2 VGKE). Aufgrund des äusserst umfangreichen Verfahrens mit mehreren Zwischenverfügungen, einer öffentlichen Parteiverhandlung, zahlreichen Eingaben und Stellungnahmen und einem sehr grossen Aktenumfang erachtete es Verfahrenskosten im Umfang von Fr. 20'000. als gerechtfertigt. Von der damaligen Beurteilung ist weder vor dem Hintergrund des bundesgerichtlichen Urteils noch der Parteivorbringen abzuweichen, weshalb auch bei der Neuverlegung von Gerichtskosten in der Höhe von Fr. 20'000. auszugehen ist.</w:t>
      </w:r>
    </w:p>
    <w:p>
      <w:r>
        <w:rPr>
          <w:b/>
        </w:rPr>
        <w:t>E. 3.2</w:t>
      </w:r>
    </w:p>
    <w:p>
      <w:r>
        <w:t>Gemäss Art. 63 Abs. 1 VwVG und Art. 6 VGKE werden die Kosten grundsätzlich der unterliegenden Partei auferlegt, wobei ausnahmsweise davon abgewichen werden kann, wie die Beschwerdeführenden beantragen. Ein Erlass der Verfahrenskosten ist namentlich denkbar, wenn mit der Beschwerde ideelle Ziele verfolgt werden, das öffentliche Interesse an der Abklärung einer Streitsache einen Kostenerlass rechtfertigt oder sich die unterliegende Partei in einer finanziellen Notlage befindet; indes besteht aufgrund der klaren Formulierung von Art. 6 VGKE kein Anspruch auf Erlass der Verfahrenskosten, sondern dieser Entscheid liegt im Ermessen des Spruchkörpers (André Moser/Michael Beusch/Lorenz Kneubühler, Prozessieren vor dem Bundesverwaltungsgericht, Basel 2008, Rz. 4.60 f. mit Praxishinweisen). Vorliegend lässt sich nicht von der Hand weisen, dass die Beschwerde nicht nur egoistischen Interessen diente, sondern auch dem öffentlichen Interesse an einem möglichst sicheren Betrieb des KKW Mühleberg. Es rechtfertigt sich deshalb, vom Grundsatz der Kostenauferlegung an die unterliegende Partei abzuweichen und den Beschwerdeführenden Gerichtskosten im Umfang von Fr. 4'000.- zu erlassen. Die restlichen Gerichtskosten in der Höhe von Fr. 16'000. sind von ihnen zu übernehmen. Dieser Betrag ist mit dem geleisteten Kostenvorschuss von Fr. 4'000. (Fr. 3'000. für das Verfahren A-667/2010 vor dessen Vereinigung mit dem Verfahren A-863/2010, für welches vor der Vereinigung ein Kostenvorschuss von Fr. 1'000. erhoben wurde) zu verrechnen. Die Beschwerdeführenden haben die Gerichtskosten zu gleichen Teilen und unter solidarischer Haftung zu tragen (Art. 6a VGKE; vgl. Moser/Beusch/Kneu­bühler, a.a.O., Rz. 4.45).</w:t>
      </w:r>
    </w:p>
    <w:p>
      <w:r>
        <w:rPr>
          <w:b/>
        </w:rPr>
        <w:t>E. 4.1</w:t>
      </w:r>
    </w:p>
    <w:p>
      <w:r>
        <w:t>Sodann sprach das Bundesverwaltungsgericht den Beschwerdeführenden im aufgehobenen Urteil eine Parteientschädigung zu. Es ging aufgrund des umfangreichen Verfahrens und der hohen Auslagen für Kopiergebühren im Zusammenhang mit dem Akteneinsichtsverfahren davon aus, Fr. 50'000. seien angemessen. Diesen Betrag kürzte es aufgrund des teilweisen Unterliegens ebenfalls um einen Fünftel auf Fr. 40'000. .</w:t>
      </w:r>
    </w:p>
    <w:p>
      <w:r>
        <w:rPr>
          <w:b/>
        </w:rPr>
        <w:t>E. 4.2</w:t>
      </w:r>
    </w:p>
    <w:p>
      <w:r>
        <w:t>Auch anlässlich der Neuverlegung der Parteientschädigung erscheint der von der Beschwerdegegnerin beantragte Betrag von Fr. 50'000. angemessen. Zwar hatte die Beschwerdegegnerin keine hohen Auslagen im Zusammenhang mit Kopiergebühren im Akteneinsichtsverfahren. Jedoch erscheinen die in der Kostennote vom 2. Februar 2012 genannten Aufwendungen plausibel und notwendig, weshalb kein Anlass besteht, der Beschwerdegegnerin weniger als die von ihr beantragten Fr. 50'000. Parteientschädigung zuzusprechen. Sie ist von den Beschwerdeführenden zu gleichen Teilen und unter solidarischer Haftung zu tragen (Art. 64 VwVG i.V.m. Art. 6a und Art. 7 Abs. 5 VGKE; Moser/Beusch/Kneu­bühler, a.a.O., Rz. 4.70).</w:t>
      </w:r>
    </w:p>
    <w:p>
      <w:r>
        <w:rPr>
          <w:b/>
        </w:rPr>
        <w:t>E. 5</w:t>
      </w:r>
    </w:p>
    <w:p>
      <w:r>
        <w:t>Für den vorliegenden Kostenentscheid sind keine Kosten aufzuerlegen (Art. 6 Bst. b VGKE) und von einer Parteientschädigung ist abzusehen (Art. 64 Abs. 1 VwVG e contrario sowie Art. 7 und 8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