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A-1744/2006 vom 12. Juni 2007</w:t>
      </w:r>
    </w:p>
    <w:p>
      <w:r>
        <w:t>Bundesverwaltungsgericht, 2007-06-12, DE</w:t>
      </w:r>
    </w:p>
    <w:p>
      <w:r>
        <w:rPr>
          <w:b/>
        </w:rPr>
        <w:t xml:space="preserve">Quelle: </w:t>
      </w:r>
      <w:r>
        <w:t>https://mcp.opencaselaw.ch/entscheid/bvger_A-1744_2006</w:t>
      </w:r>
    </w:p>
    <w:p>
      <w:r>
        <w:t>FR: TAF A-1744/2006 du 12 juin 2007</w:t>
      </w:r>
    </w:p>
    <w:p>
      <w:r>
        <w:t>IT: TAF A-1744/2006 del 12 giugno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des Zollgesetzes vom 1. Oktober 1925 [aZG; BS 6 465]).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Beschwerdeentscheide der OZD unterliegen der Beschwerde an das BVGer (Art. 109 Abs. 1 Bst. c aZG in Verbindung mit Art. 33 Bst. d VGG). Dieses ist somit zur Behandlung der Beschwerde sachlich wie funktionell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auch André Moser, in Moser/Uebersax, Prozessieren vor eidgenössischen Rekurskommissionen, Basel und Frankfurt am Main 1998, S. 59 f. Rz. 2.59 ff.). Im Verwaltungsbeschwerdeverfahren gilt die Untersuchungsmaxime, wonach der Sachverhalt von Amtes wegen festzustellen ist (Art. 12 VwVG; vgl. zum Ganzen: Ulrich Häfelin/Georg Müller/Felix Uhlmann, Allgemeines Verwaltungsrecht, 5. Aufl., Zürich 2006, Rz. 1623 ff.;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w:t>
      </w:r>
    </w:p>
    <w:p>
      <w:r>
        <w:t>Zollzahlungspflicht</w:t>
      </w:r>
    </w:p>
    <w:p>
      <w:r>
        <w:rPr>
          <w:b/>
        </w:rPr>
        <w:t>E. 2.1</w:t>
      </w:r>
    </w:p>
    <w:p>
      <w:r>
        <w:t>Nach Art. 9 Abs. 1 und 13 Abs. 1 aZG obliegt die Zollzahlungspflicht demjenigen, der eine Ware über die Grenze bringt, dessen Auftraggeber, den weiteren in Art. 9 Abs. 1 aZG Genannten sowie den Personen, für deren Rechnung die Ware ein- oder ausgeführt worden ist. Der Gesetzgeber zog den Kreis der Zollzahlungspflichtigen somit weit. Dadurch soll die Einbringlichkeit der Abgabenforderung erleichtert werden (vgl. Urteil des Bundesgerichts 2A.199/2004 vom 15. November 2004 E. 2.1.3; BGE 107 Ib 198, 200; BGE 89 I 545; nicht publizierter Entscheid der ZRK vom 9. Februar 1981 [ZRK 1979-261]), deren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Die Beschwerdeführerin und die GmbH schlossen einen Distanzkauf ab. Zur Versendung der Ware bedienten sich die Parteien im Distanzgeschäft der F._______BV als Warenführer. Auftraggeberin im Sinne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(BGE 89 I 546;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aZG erfolgt die Wareneinfuhr auf seine Rechnung. Umgekehrt haftet der ausländische Veräusserer im selben Masse, weil die Ware auf seine Rechnung ausgeführt, bzw. in die Schweiz eingeführt wird. Beide Personen sind daher zollzahlungspflichtig. Dieser Schluss ist sowohl vom Sinn des Gesetzes als auch von der Interessenlage der Beteiligten her geboten: im Interesse der Vollstreckung der Zollabgabe ist der Kreis der Zahlungspflichtigen in dem Sinne weit zu ziehen, als die an der Erfüllung des der Warenbewegung zugrunde liegenden Rechtsgeschäfts wirtschaftlich interessierten Personen für die Zollabgaben haften (BGE 110 Ib 310; nicht publizierter Entscheid der ZRK vom 8. Oktober 1998 [ZRK 1998-002], E. 6a/aa). Zusammenfassend ergibt sich, dass im internationalen Distanzgeschäft der ausländische Veräusserer und der erste inländische Erwerber entweder als Auftraggeber des Warenführers (einzeln oder zusammen) gelten, oder - falls dies nicht zutrifft - als Personen, für deren Rechnung die Ware aus- bzw. eingeführt wird.</w:t>
      </w:r>
    </w:p>
    <w:p>
      <w:r>
        <w:rPr>
          <w:b/>
        </w:rPr>
        <w:t>E. 2.2</w:t>
      </w:r>
    </w:p>
    <w:p>
      <w:r>
        <w:t>Die Beschwerdeführerin verkaufte der GmbH Schnittblumen und organisierte den Transport von Holland in die Schweiz. Sie ist daher zollzahlungspflichtig. Der Zollzahlungspflichtige haftet auch für die nachträgliche Erhebung der geschuldeten Abgabe, denn es ist nicht einzusehen, warum für die nachträgliche Zollzahlungspflicht andere Haftungsgrundsätze als gemäss Art. 9 Abs. 1 und 13 Abs. 1 aZG gelten sollten. Dies muss im Falle einer objektiven Widerhandlung gegen die Zollzahlungspflicht umso mehr gelten. Dabei hängt die Zollzahlungspflicht nicht davon ab, ob der Betreffende schuldhaft zu wenig Zoll bezahlte oder gegen ihn ein Strafverfahren eingeleitet wurde (Entscheid der ZRK vom 17. April 2003, veröffentlicht in Verwaltungspraxis der Bundesbehörden [VPB] 67.119 E. 2c; BGE 129 II 160 E. 3). Auf seine Kenntnis der Verhältnisse kommt es nicht an (unveröffentlichtes Urteil des Bundesgerichts vom 22. Dezember 1972 i.S. Sch.). Im vorliegenden Fall wurde zu wenig Zoll erhoben, weil die Einfuhrdeklaration unrichtige Angaben enthielt. Der Tatbestand von Art. 74 Ziff. 8 aZG ist in objektiver Hinsicht demnach erfüllt. Da die Beschwerdeführerin unbestritten zum Kreis der nach Art. 9 und 13 aZG Zollzahlungspflichtigen gehört, ist sie gemäss Art. 12 Abs. 2 des Bundesgesetzes vom 22. März 1974 über das Verwaltungsstrafrecht (VStrR, SR 313) für die streitigen Zollabgaben nachleistungspflichtig. Die zollzahlungspflichtige Beschwerdeführerin haftet deshalb auch für die nachzuleistenden Abgaben (Entscheid der ZRK vom 17. April 2003, veröffentlicht in VPB 67.119E. 2c).</w:t>
      </w:r>
    </w:p>
    <w:p>
      <w:r>
        <w:rPr>
          <w:b/>
        </w:rPr>
        <w:t>E. 3</w:t>
      </w:r>
    </w:p>
    <w:p>
      <w:r>
        <w:t>Verjährung</w:t>
      </w:r>
    </w:p>
    <w:p>
      <w:r>
        <w:rPr>
          <w:b/>
        </w:rPr>
        <w:t>E. 3.1</w:t>
      </w:r>
    </w:p>
    <w:p>
      <w:r>
        <w:t>Für Forderungen im Sinne von Art. 12 Abs. 1 VStrR gelten nach Art. 12 Abs. 4 VStrR die Verjährungsvorschriften, welche für die Strafverfolgung gelten würden, sofern die betreffende Widerhandlung gegen die Verwaltungsgesetzgebung des Bundes auch in subjektiver Hinsicht verwirklicht wäre (BGE 106 Ib 221 E. 2d). Art. 12 Abs. 4 VStrR greift somit bereits dann ein, wenn der objektive Tatbestand einer Widerhandlung erfüllt ist (Urteil des Bundesgerichts vom 7. Februar 2001, veröffentlicht in Archiv für schweizerisches Abgaberecht [ASA] 70 S. 333 E. 2a und b). Die Verjährung wird durch jede Einforderungshandlung unterbrochen (Art. 64 aZG; BGE 106 Ib 222). Die Verjährung ruht während der Dauer eines Einsprache-, Beschwerde- oder gerichtlichen Verfahrens über die Leistungs- oder Rückleistungspflicht (Art. 11 Abs. 3 VStrR). Dies gilt auch für die absolute Verjährungsfrist (BGE 119 IV 335 E. 2, BGE 110 Ib 312 E. 3b).</w:t>
      </w:r>
    </w:p>
    <w:p>
      <w:r>
        <w:rPr>
          <w:b/>
        </w:rPr>
        <w:t>E. 3.2</w:t>
      </w:r>
    </w:p>
    <w:p>
      <w:r>
        <w:t>Die Strafverfolgung für den Tatbestand, der im vorliegenden Fall objektiv verwirklicht ist (Art. 74 Ziff. 9 aZG), verjährt gemäss Art. 11 Abs. 2 VStrR in fünf Jahren und kann durch Unterbrechung nicht um mehr als die Hälfte hinausgeschoben werden. Die zu beurteilenden Einfuhren fanden in den Jahren 1995 bis 1999 statt. B._______ wurde von der Zollkreisdirektion Basel am 16. Juli 1997, am 12. März 1998, am 28. Mai 1998 und am 6. Januar 2000 als Beschuldigter zur Sache einvernommen. Da er in diesen Einvernahmen gerade auch in seiner Funktion als Gesellschafter der C._______GmbH befragt wurde, bewirkten die Einvernahmen aufgrund der solidarischen Haftung auch hinsichtlich des Leistungsanspruches gegenüber der Beschwerdeführerin jeweils eine Unterbrechung der ordentlichen fünfjährigen Verjährungsfrist. Am 28. August 2000 traf die Zollkreisdirektion Basel eine Verfügung über die Leistungspflicht der Beschwerdeführerin, gegen welche diese am 29. September 2000 Beschwerde führte. Im Zeitpunkt der Beschwerdeerhebung waren die Nachforderungen aufgrund der Verjährungsunterbrechungen somit nicht verjährt, eingehalten wurde insbesondere auch die absolute Verjährungsfrist von siebeneinhalb Jahren (Art. 11 Abs. 2 VStrR). Mit Beschwerdeerhebung am 29. September 2000 ruhte die Verjährung nach Art. 11 Abs. 3 VStrR. Die Verjährung der zu beurteilenden Nachforderungen ist folglich nicht eingetreten.</w:t>
      </w:r>
    </w:p>
    <w:p>
      <w:r>
        <w:rPr>
          <w:b/>
        </w:rPr>
        <w:t>E. 3.3</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In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noch - aufgrund der genannten Regelung in Art. 333 Abs. 5 StGB - nach dem Recht vom 22. März 2002 eingetreten ist, erübrigt sich vorliegend die Prüfung der Frage, ob das vorhergehende oder dasjenige vom 22. März 2002 milder sei.</w:t>
      </w:r>
    </w:p>
    <w:p>
      <w:r>
        <w:rPr>
          <w:b/>
        </w:rPr>
        <w:t>E. 3.4</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in Abs. 5 der Fassung vom 22. März 2002. Auch nach diesen Bestimmungen ist die Verjährung somit nicht eingetreten und eine Prüfung, welches das mildere Recht sei, erübrigt sich. Aufgrund der verlängerten Fristen und der Beibehaltung der Bestimmungen über das Ruhen und die Unterbrechung wird auch nach dem am 1. Januar 2007 in Kraft getretenen Recht in Fällen wie dem vorliegenden häufig das alte Recht das mildere sein (Urteil des BVGer A-1675/2006 vom 21. März 2007 E. 4.5; Entscheid der ZRK i.S. C. vom 8. Februar 2005 [ZRK 2003-050] E. 4d).</w:t>
      </w:r>
    </w:p>
    <w:p>
      <w:r>
        <w:rPr>
          <w:b/>
        </w:rPr>
        <w:t>E. 4</w:t>
      </w:r>
    </w:p>
    <w:p>
      <w:r>
        <w:t>Verfassungsmässigkeit</w:t>
      </w:r>
    </w:p>
    <w:p>
      <w:r>
        <w:rPr>
          <w:b/>
        </w:rPr>
        <w:t>E. 4.1</w:t>
      </w:r>
    </w:p>
    <w:p>
      <w:r>
        <w:t>Die Beschwerdeführerin bestreitet die Gesetzes- und Verfassungsmässigkeit des Zolltarifs nach dem AKZA.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 insbesondere die mengenmässige Einfuhrbeschränkung für gewisse Produkte -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w:t>
      </w:r>
    </w:p>
    <w:p>
      <w:r>
        <w:rPr>
          <w:b/>
        </w:rPr>
        <w:t>E. 4.2</w:t>
      </w:r>
    </w:p>
    <w:p>
      <w:r>
        <w:t>Das Bundesgesetz vom 3. Oktober 1951 über die Förderung der Landwirtschaft und die Erhaltung des Bauernstandes in der Fassung vom 16. Dezember 1994 (Landwirtschaftsgesetz, AS 1953, 1073 und AS 1995, 1837) bestimmt in Art. 23, dass bei der Festsetzung der Einfuhrzölle die Versorgungslage im Inland und die Absatzmöglichkeiten für gleichartige inländische Erzeugnisse zu berücksichtigen sind (ab 1. Januar 1999 Art. 17 und 21 bis 24 des Bundesgesetzes vom 29. April 1998 über die Landwirtschaft [Landwirtschaftsgesetz, LwG, SR 910.1]; BGE 128 II 38 E. 2b).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(BGE 128 II 37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Das Zolltarifgesetz erweist sich somit im Einklang mit den staatsvertraglichen Verpflichtungen der Schweiz. Zudem ist zu beachten, dass dem ZTG (inklusive Anhänge) Gesetzesrang zukommt und gemäss Art. 190 in der ab 1. Januar 2007 geltenden Fassung der Bundesverfassung vom 18. April 1999 (BV, SR 101) Bundesgesetze und Völkerrecht für das Bundesgericht und die anderen rechtsanwendenden Behörden massgebend sind. Weitere Ausführungen zur behaupteten Verfassungsverletzung erübrigen sich somit.</w:t>
      </w:r>
    </w:p>
    <w:p>
      <w:r>
        <w:rPr>
          <w:b/>
        </w:rPr>
        <w:t>E. 4.3</w:t>
      </w:r>
    </w:p>
    <w:p>
      <w:r>
        <w:t>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(Art. 22 Abs. 2 Bst. b LwG). Nach Art 13 Abs. 1 der Verordnung vom 17. Mai 1995 über die Einfuhr von Gemüse, frischem Obst und Schnittblumen (VEGOS, AS 1995 2017) können frische Schnittblumen zwischen dem 1. Mai und dem 25. Oktober nur im Rahmen von Zollkontingenten zum KZA eingeführt werden. Die Zuteilung der Zollkontingente erfolgt gemäss den Kriterien 70% nach Massgabe der Gesamteinfuhren im vorangegangenen Jahr und 30 % nach der erbrachten Inlandleistung. Je nach Marktbedarf und Inlandangebot können über das Zollkontingent hinaus zeitlich befristete Zusatzkontingente zur Einfuhr zum KZA zugelassen werden (Art. 13 Abs. 6 VEGOS). Das (damalige) Bundesamt für Aussenwirtschaft (BAWI) teilt den Inhabern von Generaleinfuhrbewilligungen die Anteile des Zollkontingents für Schnittblumen nach Massgabe der Einfuhren im Vorjahr und nach Massgabe der Inlandleistung des Vorjahres zu (Art. 15 Bst. b VEGOS) und gibt die Zusatzkontingente frei. Die zusätzlichen Mengen werden nach Massgabe der Inlandleistung verteilt. Das BAWI legt Verteilschlüssel für die Zusatzkontingente fest (Art. 13 Abs. 7 VEGOS), wobei einem Franken Inlandleistung eine gewisse Menge Importware entspricht (z.B. ergeben bei einem Verhältnis von 2:1 Fr. 100.-- Inlandleistung ein Zusatzkontingent von 50 kg Importkontingent).</w:t>
      </w:r>
    </w:p>
    <w:p>
      <w:r>
        <w:rPr>
          <w:b/>
        </w:rPr>
        <w:t>E. 4.4</w:t>
      </w:r>
    </w:p>
    <w:p>
      <w:r>
        <w:t>Ab 1. Januar 1999 gelten diesbezüglich Art. 12-14 der Verordnung vom 7. Dezember 1998 über die Ein- und Ausfuhr von Gemüse, Obst und Gartenbauerzeugnissen [VEAGOG], SR 916.121.10) und Art. 10-15 und 21 AEV. Das Bundesamt für Landwirtschaft (BLW) teilt die aggregierte Zollkontingentsmenge den Anteilsberechtigten nach Massgabe ihrer Einfuhren zum KZA und zum AKZA während der entsprechenden Periode des Vorjahres zu. Die Zuteilung erfolgt jeweils im April (Art. 14 Abs. 1 und 2 VEAGOG). Frische Schnittblumen können zum KZA eingeführt werden, sofern das BLW Zollkontingentsteilmengen für die Einfuhr freigibt (Art. 12 Abs. 2 VEAGOG). Die Zollkontingentsanteile werden den Berechtigten durch Hoheitsakt zugeteilt, d. h. Schnittblumen zum KZA kann nur einführen, wem ein Zollkontingent mittels Verfügung zugesprochen worden ist (s. Art. 3, Art. 14 Abs. 1 und 2 VEAGOG). Je nach Marktbedarf und Schweizer Angebot kann das BLW das Zollkontingent erhöhen (Art. 12 Abs. 3 VEAGOG). Die zusätzlichen Mengen werden nach Massgabe der Inlandleistung verteilt. Das BLW legt Verteilschlüssel für die Zollkontingentsanteile für die Periode, während der die Erhöhung des Zollkontingents zur Einfuhr freigegeben ist, fest (Art. 14 Abs. 4 VEAGOG). Die damalige VEGOS und die VEAGOG bewegen sich somit innerhalb der Vorgaben des LwG und sind demnach gemäss Art. 190 BV für das Bundesverwaltungsgericht ebenfalls massgebend (vgl. BGE 131 II 566 E. 3.2). Eine weitere Überprüfung hinsichtlich der Verfassungsmässigkeit erübrigt sich.</w:t>
      </w:r>
    </w:p>
    <w:p>
      <w:r>
        <w:rPr>
          <w:b/>
        </w:rPr>
        <w:t>E. 5</w:t>
      </w:r>
    </w:p>
    <w:p>
      <w:r>
        <w:t>Publikationserfordernis Die Beschwerdeführerin bemängelt sodann die ungenügende gesetzliche Grundlage der angefochtenen Verfügung über die Leistungspflicht vom 28. August 2000, da diese auf dem Generaltarif im Anhang zum ZTG basiere, welcher weder im Bundesblatt noch in der Amtlichen Sammlung oder in der Systematischen Sammlung publiziert sei. Dem Legalitätsprinzip komme insbesondere im Abgaberecht die Bedeutung eines verfassungsmässigen Rechts zu. Die Verankerung des AKZA mit einer Erhöhung bis zu 28'000% im Vergleich zum KZA in untergeordneter Rechtsetzungsstufe entbehre der demokratischen Legitimation, verstosse gegen das Legalitätsprinzip und bilde eine ungenügende gesetzliche Grundlage. Der Generaltarif nach Art. 1 Abs. 1 ZTG in den Anhängen 1 und 2 wird weder in der Amtlichen Sammlung (Amtliche Sammlung, AS) noch in der Systematischen Sammlung des Bundesrechts (Systematische Sammlung, SR) publiziert; er kann indessen bei der OZD eingesehen werden. Änderungen werden im Internet unter www.ezv.admin.ch publiziert. Gemäss Art. 12 ZTG werden die Änderungen des Generaltarifs in Form einer Gesetzesänderung vorgenommen, die der Bundesrat beantragt, wobei er den Generaltarif bis zum Entscheid über die Änderung in Kraft setzen kann. Das Vorgehen der Publikation des Generaltarifs steht in Einklang mit Art. 4 Abs. 1 Bst. a des Bundesgesetzes vom 21. März 1986 über die Gesetzessammlungen und das Bundesblatt (Publikationsgesetz 1986, AS 1987 600; heute Art. 5 Abs. 1 und 15 des Bundesgesetzes vom 18. Juni 2004 über die Sammlungen des Bundesrechts und das Bundesblatt [Publikationsgesetz, PublG, SR 170.512]). In der SR werden nach Art. 11 Abs. 1 Publikationsgesetz 1986 nur in der AS veröffentlichte noch geltende Erlasse, völkerrechtliche und interkantonale Verträge, internationale Beschlüsse sowie die Kantonsverfassungen aufgenommen. Es wird aber insbesondere ein Erlass nicht aufgenommen, wenn er von technischer Natur ist und sich nur an Fachleute wendet. In diesem Fall wird der Text in einem anderen Publikationsorgan oder als Sonderdruck veröffentlicht (Publikationsgesetz 1986, Art. 4 Abs. 1 Bst. b und Abs. 2). Es entspricht damit der bundesgesetzlichen Ordnung, den Generaltarif weder in der AS noch in der SR zu publizieren und es erübrigt sich auf Grund des Art. 190 BV über die Bindung der rechtsanwendenden Behörden an die Bundesgesetze, die Verfassungsmässigkeit von Art. 4 Publikationsgesetz 1986 oder Art. 5 Abs. 1 i.V. mit 15 PublG weiter zu prüfen (vgl. auch Moser, a.a.O., Rz 2.68).</w:t>
      </w:r>
    </w:p>
    <w:p>
      <w:r>
        <w:rPr>
          <w:b/>
        </w:rPr>
        <w:t>E. 6</w:t>
      </w:r>
    </w:p>
    <w:p>
      <w:r>
        <w:t>Rechtliches Gehör</w:t>
      </w:r>
    </w:p>
    <w:p>
      <w:r>
        <w:rPr>
          <w:b/>
        </w:rPr>
        <w:t>E. 6.1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basierte als selbständiges Grundrecht auf dem allgemeinen Rechtsgrundsatz des Art. 4 aBV und ist heute in Art. 29 Abs. 2 BV niedergelegt. Auf der Stufe der Gesetze des Bundes ist der Anspruch in den Art. 18, 26-33 und Art. 35 Abs. 1 VwVG näher konkretisiert (vgl. statt vieler Häfelin/Müller/Uhlmann, a.a.O. Rz 1672 ff.). B._______ - als Vertreter der Beschwerdeführerin - wurde vier Mal durch die Untersuchungsbehörden des Zollkreises Basel einvernommen. Er konnte jeweils zu allen Vorhalten ausführlich Stellung nehmen. Dem damaligen Vertreter der Beschwerdeführerin standen alle Akten vom 14. September bis zum 15. Dezember 2000 zur Verfügung. Der Vertreter der Beschwerdeführerin, der gleichzeitig auch B._______ vertrat, hatte ausserdem Einsicht in sämtliche Akten das Verfahren B._______ betreffend. Die Zollkreisdirektion und die OZD haben sich sodann ausführlich mit den Argumenten der Beschwerdeführerin auseinandergesetzt. Wenn sie dabei zu anderen Schlüssen gekommen sind, bedeutet dies nicht, dass das rechtliche Gehör der Beschwerdeführerin verletzt worden wäre. Der Anspruch der Beschwerdeführerin auf Gewährung des rechtlichen Gehörs wurde in keinem Stadium des Verfahrens verletzt.</w:t>
      </w:r>
    </w:p>
    <w:p>
      <w:r>
        <w:rPr>
          <w:b/>
        </w:rPr>
        <w:t>E. 6.2</w:t>
      </w:r>
    </w:p>
    <w:p>
      <w:r>
        <w:t>Die Beschwerdeführerin macht weiter geltend, im zollrechtlichen Untersuchungsverfahren sei sie nicht auf ihr Recht zur Aussageverweigerung als Beschuldigter und zum Beizug eines Verteidigers hingewiesen worden. Sie verkennt dabei, dass nicht sie, sondern B._______ als Beschuldigter persönlich einvernommen worden ist. Während den Einvernahmen hatte die Beschwerdeführerin keine Parteistellung, denn Partei im Strafverfahren sind nach Art. 6 VStrR natürliche Personen, die für die juristische Person handeln (vgl. dazu BGE 120 IV 356, 370; BGE 117 IV 203, 205). Weil die Beschwerdeführerin nicht einvernommen wurde, konnte von einem sie betreffenden Recht auf Aussageverweigerung oder dem Beizug eines Vertreters auch nicht die Rede sein. Soweit die Beschwerdeführerin die Aussagen von B._______ vorsorglich widerrufen will, ist dies ebenfalls unbehelflich. Die Aussagen in den Einvernahmen stammen von B._______ und können - wenn überhaupt - nur von diesem persönlich widerrufen werden. Die Beschwerdeführerin ist in dieser Hinsicht eine Drittperson, die nicht fremde Aussagen widerrufen kann. Sie kann die Aussagen höchstens als nicht richtig anerkennen. Das tut sie teilweise und deshalb sind die auf den Aussagen von B._______ basierenden Schlussfolgerungen der Vorinstanz im Rahmen dieses Verfahrens zu überprüfen. Der Anspruch der Beschwerdeführerin auf das rechtliche Gehör ist auch aus diesem Grund nicht verletzt worden.</w:t>
      </w:r>
    </w:p>
    <w:p>
      <w:r>
        <w:rPr>
          <w:b/>
        </w:rPr>
        <w:t>E. 7</w:t>
      </w:r>
    </w:p>
    <w:p>
      <w:r>
        <w:t>Schnittblumenkäufe Soweit die Beschwerdeführerin behauptet, sie habe tatsächlich von E._______ sowie von D._______ Schnittblumen gekauft, widerspricht sie den klaren und eindeutigen Aussagen von B._______ und denjenigen von E._______. Ihre heutigen Behauptungen erfolgen offensichtlich wider besseres Wissen, so dass darauf nicht weiter einzugehen ist und die Abnahme der beantragten Beweismittel ohne weiteres unterbleiben kann.</w:t>
      </w:r>
    </w:p>
    <w:p>
      <w:r>
        <w:rPr>
          <w:b/>
        </w:rPr>
        <w:t>E. 8</w:t>
      </w:r>
    </w:p>
    <w:p>
      <w:r>
        <w:t>Zollschuld</w:t>
      </w:r>
    </w:p>
    <w:p>
      <w:r>
        <w:rPr>
          <w:b/>
        </w:rPr>
        <w:t>E. 8.1</w:t>
      </w:r>
    </w:p>
    <w:p>
      <w:r>
        <w:t>Das Zollverfahren ist vom Selbstdeklarationsprinzip bestimmt (Art. 24 aZG). Dem Zollpflichtigen obliegt die Verantwortlichkeit für die rechtmässige und richtige Deklaration seiner grenzüberschreitenden Warenbewegungen. Er ist verpflichtet, den vorschriftsgemässen Abfertigungsantrag zu stellen.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ASA 70 S. 334 E. 2c mit Hinweisen; Entscheid der ZRK vom 18. November 2003 [ZRK 2003-027] E. 3a, bestätigt im unveröffentlichten Urteil des Bundesgerichts vom 31. März 2004 [2A.1/2004] E. 2.1; Entscheid der ZRK vom 2. Oktober 1995, veröffentlicht in ASA 65 S. 410 ff. E. 3a und 3b/bb, mit Hinweisen; Entscheid der ZRK vom 15. November 2005 [ZRK 2003-165] E. 2a). 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das zuständige Zollamt überprüft die abgegebene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Entscheid der ZRK vom 18. November 2003, a.a.O., E. 3a, bestätigt mit Urteil des Bundesgerichts vom 31. März 2004, a.a.O., E. 2.2; Entscheid der ZRK vom 28. Oktober 2003, veröffentlicht in VPB 68.51 E. 3b; Entscheid der ZRK vom 15. November 2005, veröffentlicht in VPB 70.55 E. 2a).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der Verordnung vom 10. Juli 1926 zum alten Zollgesetz [aZV, BS 6 514]; Entscheid der ZRK vom 13. Februar 2002, veröffentlicht in VPB 66.56 E. 2a; Entscheid der ZRK vom 28. Oktober 2003, a.a.O., E. 3b). Die deklarierte Einfuhrmenge ist deshalb für den Zollpflichtigen und die Zollverwaltung - unter Vorbehalt der Revision im Einzelfall - verbindlich. Die Zollschuld bemisst sich nach dem Bruttogewicht der eingeführten Ware, wobei das für die Verzollung massgebende Gewicht jeweils auf die nächsten 100 g aufgerundet wird, wenn der Zollansatz auf je 100 kg festgelegt ist (Art. 2 Abs. 3 ZTG). Für die Bemessung der Zollschuld verlangt das Zolltarifgesetz damit eine genaue, auf 100 g aufgerundete, Gewichtsbestimmung der einzelnen Einfuhr. Es kann unter der Geltung des Gewichtszolls (vgl. dazu den Bericht des Bundesrates 1988 über die Legislaturplanung 1987-1991, BBl 1988 I 495 f.) bei der Bemessung der Zollschuld nicht auf irgendwelche statistischen Werte, Schätzungen oder Durchschnittswerte zurückgegriffen werden; es sind der Zollschuld vielmehr im vorliegenden Fall das jeweils tatsächlich eingeführte Zollgewicht im Sinn von Art. 1 Abs. 2 und 4 der Taraverordnung vom 4. November 1987 (SR 632.13; vgl. unten E. 8.2) zugrunde zu legen. Eine Revision nach Art. 36 aZG und Art. 50 aZV betrifft jeweils einzig die zur Zollbehandlung angemeldete oder der Zollpflicht unterliegende Ware (vgl. auch Art. 31 Abs. 2 aZG). Wie an den Beweis im Rahmen einer Beschwerde nach Art. 109 Abs. 2 aZG zu Lasten des Beschwerdeführers ein strenger Massstab anzulegen ist (Entscheid der ZRK vom 15. November 2005, veröffentlicht in VPB 70.55 E. 2b), kann es nicht genügen, Einfuhrdeklarationen auf Grund allgemeiner Überlegungen und Schätzungen der Zollverwaltung zu korrigieren. Rückschlüsse auf andere Einfuhren - insbesondere auf Einfuhren aus längst vergangenen Jahren - verbieten sich. Das Ergebnis der Revision vom 29. September 1999 kann deshalb auch keine Grundlage bieten, die gesamten Einfuhrdeklarationen der GmbH aus den Jahren 1995-1999 zu revidieren. Noch weniger können allgemeine Schätzungen der durchschnittlichen Gewichte der eingeführten Waren oder der Verpackungen Anlass geben, die deklarierten Einfuhrmengen zu korrigieren.</w:t>
      </w:r>
    </w:p>
    <w:p>
      <w:r>
        <w:rPr>
          <w:b/>
        </w:rPr>
        <w:t>E. 8.2</w:t>
      </w:r>
    </w:p>
    <w:p>
      <w:r>
        <w:t>Die Beschwerdeführerin beanstandet, die OZD habe sich mit ihren in der Beschwerde vom 29. September 2000 vorgebrachten Argumenten nicht auseinandergesetzt, sie habe im angefochtenen Beschwerdeentscheid zur Gewichtsbestimmung eine neue Berechnungsmethode eingeführt, zu der die Beschwerdeführerin nicht habe Stellung nehmen können und die OZD habe ihre Berechnungsmethode nicht begründet. Streitig ist insbesondere, ob und gegebenenfalls inwieweit Regalwagen und Regalbretter, Kartonschachteln, ein Teil der Eimer und das Wasser, das zur Frischhaltung der Rosen jeweils mitgeführt worden ist, bei der Verzollung berücksichtigt wurden und berücksichtigt werden mussten. Nach Art. 2 Abs. 1 ZTG sind Waren nach dem Bruttogewicht zu verzollen. Zum Bruttogewicht gehören nach Art. 1 Abs. 1 Taraverordnung das Eigengewicht der Ware, das Gewicht der Verpackung, des Füllmaterials sowie der Warenträger. Zum Nettogewicht gehören nach Art. 1 Abs. 2 der Taraverordnung das Eigengewicht der Ware, das Gewicht der Warenträger und der unmittelbaren Verpackung. Waren, die durch ihre Verpackung genügend gegen Transportschäden geschützt sind, werden nach dem Bruttogewicht verzollt (Art. 2 Abs. 1 Taraverordnung). Waren, die unverpackt sind oder deren Verpackung keinen genügenden Schutz gegen Transportschäden bietet, unterliegen einem Tarazuschlag (Art. 2 Abs. 2 Taraverordnung) und werden damit zum Nettogewicht mit einem Tarazuschlag verzollt (vgl. Art. 1 Abs. 3 und 4 Taraverordnung). Die Schnittblumen wurden - wie die bei den Akten liegenden Fotoaufnahmen zeigen und wie B._______ in den Einvernahmen aussagte - jeweils entweder in Papier eingeschlagen und auf Regalen gelagert oder in Kübeln mit Wasser transportiert. Die untersuchende Zollkreisdirektion berechnete in ihren Korrekturen über die Einfuhren der Beschwerdeführerin jeweils einen Tarazuschlag von 5% (vgl. u. a. act. 38/1, 38/2, 39/1 und 40/1) und ging folglich offensichtlich davon aus, die Ware sei unverpackt oder nur mit unmittelbarer Verpackung transportiert worden. Damit ergibt sich das zu verzollende Gewicht im vorliegenden Fall aus dem Nettogewicht, bestehend aus dem Eigengewicht der Schnittblumen sowie dem Gewicht der Warenträger und der unmittelbaren Verpackung, mit einem Zuschlag von 5% (Art. 1 Abs. 2 Taraverordnung). Beim mitgeführten Wasser handelt es sich in keinem Fall um unmittelbare Verpackung. Verpackung soll genügenden Schutz gegen Transportschäden bieten (Art. 1 Abs. 2 2. Satz und Art. 2 Abs. 2 Taraverordnung; Entscheid der ZRK vom 31. März 2005 [ZRK 2004-001] E. 4. a). Wasser dient unabhängig eines Transports der Ware der Frischhaltung der Schnittblumen und hat mit dem Schutz während des Transports nichts zu tun. Das Wasser wird denn auch dem Blumeneinzelhändler in der Schweiz nicht verkauft oder wieder ausgeführt. Es gehört deshalb weder zur Verpackung noch zur unmittelbaren Verpackung der Ware im Sinn von Art. 1 Abs. 2 Taraverordnung. Fraglich ist deshalb noch, ob das Wasser dem Begriff des Warenträgers zugeordnet werden könnte. Warenträger sind nach dem allgemeinen Sprachgebrauch Verkaufsständer, Plakatständer, Prospekthalter, Spulen, Hülsen, Kettbäume, Kabeltrommeln und Gestelle (vgl. Erläuterungen der OZD zum Schweizerischen Zolltarif, Teil III, Ziffer 5), Lochwände zur Präsentation von Waren, Regale, Vitrinen und Displays. Warenträger dienen der übersichtlichen Präsentation von Waren. Ein Warenträger ist ein "Gestell, auf dem Waren übersichtlich und leicht zugänglich zum Verkauf ausgelegt werden" (vgl. Duden, Mannheim/Wien/Zürich, Bd. 6, 2839). "Warenträger" wird denn auch in der französischen Version von Art. 1 Abs. 1 Taraverordnung als "supports sur lesquels la marchandise est présentée" und auf italienisch mit "supporti sui quali la merce è presentata" bezeichnet. Das von der Beschwerdeführerin mitgeführte Wasser hatte nicht die Funktion der Präsentation, der Auslage der Ware zum Verkauf. Es ist deshalb bei der Verzollung der Ware nicht zu berücksichtigen.</w:t>
      </w:r>
    </w:p>
    <w:p>
      <w:r>
        <w:rPr>
          <w:b/>
        </w:rPr>
        <w:t>E. 8.3</w:t>
      </w:r>
    </w:p>
    <w:p>
      <w:r>
        <w:t>Die Zollkreisdirektion Basel hat im Rahmen der Überprüfung der Einfuhren der GmbH in Bezug auf das Gewicht der eingeführten Schnittblumen für alle bewirtschafteten Perioden 1995 bis 1999 auf leicht unterschiedliche Durchschnittsnettogewichte abgestellt (Rosen zwischen 45 und 60 g pro Stück, Nelken von 30 bis 50 g und andere Blumen von 55 bis 65 g pro Stück, jeweils mit einer Abweichung von plus/minus 5 g), ohne jedoch diese Unterschiede zu begründen. Sie weichen von den Gewichten, die die Beschwerdeführerin anerkennt (vgl. S. 8 f. der Beschwerde vom 29. September 2000), stark ab. Insbesondere weist die Beschwerdeführerin auf unterschiedliche Gewichte der Rosen im Sommer und Winter hin (zwischen 24.5 und 57.6 g), die unter anderem von der jeweiligen Stillänge und dem Produktionsort (niederländische oder afrikanische Produktion) abhängen. Die von der Zollkreisdirektion Basel gestützt auf mündliche Angaben von B._______ geschätzten Blumengewichte (brutto) weichen zum Teil erheblich von den bei den Einfuhren deklarierten Gewichten ab, was, wie oben unter E. 8.1 ausgeführt wird, auch in der unterschiedlichen Berechnung des Nettogewichts begründet ist. Die OZD bestätigt in ihrem angefochtenen Entscheid vom 11. Mai 2006 (S. 5), dass das Abstellen auf Durchschnittsgewichte nicht zulässig sei, nimmt jedoch diesen Umstand nicht zum Anlass einer Korrektur, da zum zollpflichtigen Gewicht auch das Gebinde inkl. Wasser gehöre. Würde dieses berücksichtigt, ergäbe sich ein Zollbetrag von Fr. 753'852.50, der zu Unrecht nicht entrichtet worden sei. Die OZD ist deshalb auf die Frage der richtigen Gewichtsbemessung des Anteils der Schnittblumen im angefochtenen Entscheid nicht weiter eingegangen. Da, wie oben in E. 8.1 erläutert, bei den Einfuhren auf die tatsächlich deklarierten Einfuhrgewichte abzustellen ist - es sei denn diese würden bei einer Revision korrigiert -, erübrigt es sich, Durchschnittswerte für die eingeführten Schnittblumen zu errechnen.</w:t>
      </w:r>
    </w:p>
    <w:p>
      <w:r>
        <w:rPr>
          <w:b/>
        </w:rPr>
        <w:t>E. 8.4</w:t>
      </w:r>
    </w:p>
    <w:p>
      <w:r>
        <w:t>Da bei der Berechnung des zu Unrecht nicht abgeführten Zollbetrags auf Schätzungen des Gewichts der Ware und der Verpackung und nicht auf das tatsächlich deklarierte und damit Zollverwaltung und Zollpflichtigen bindende Gewicht der einzelnen Einfuhren zwischen dem 3. Oktober 1995 und dem 19. Oktober 1999 abgestellt wurde, das durch die Revision einer einzigen Einfuhr vom 29. September 1999 nicht schätzungsweise korrigiert werden kann, ist die Beschwerde gutzuheissen und die Sache zur Neuberechnung des zu Unrecht nicht entrichteten Zollbetrags auf Grund der Einfuhrdeklarationen an die Vorinstanz zurückzuweisen. Die Beschwerde ist somit im Subeventualbegehren gutzuheissen, im Übrigen jedoch abzuweisen.</w:t>
      </w:r>
    </w:p>
    <w:p>
      <w:r>
        <w:rPr>
          <w:b/>
        </w:rPr>
        <w:t>E. 9</w:t>
      </w:r>
    </w:p>
    <w:p>
      <w:r>
        <w:t>Die Verfahrenskosten sind gemäss Art. 63 Abs. 1 VwVG der unterliegenden Partei aufzuerlegen. Unterliegt diese nur teilweise, so werden die Verfahrenskosten ermässigt. Der teilweise unterlegenen Vorinstanz werden keine Verfahrenskosten auferlegt (Art. 63 Abs. 2 VwVG). Im vorliegenden Fall rechtfertigt es sich angesichts der teilweisen Gutheissung die Verfahrenskosten von Fr. 2'000.-- auf Fr. 1'000.-- zu reduzieren. Die OZD hat zudem der teilweise obsiegenden und vertretenen Beschwerdeführerin eine reduzierte Parteientschädigung zu entrichten (Art. 64 Abs. 1 und 2 VwVG). Diese wird in Anwendung von Art. 14 Abs. 2 des Reglements vom 11. Dezember 2006 über die Kosten und Entschädigungen vor dem Bundesverwaltungsgericht (VGKE, SR 173.320.2) auf Fr. 1'000.-- (inkl. Auslagen und Mehrwertsteuer) festgesetzt. Berücksichtigt wird dabei, dass der Vertreter der Beschwerdeführerin die wörtlich gleiche Beschwerde wie in den Parallelverfahren der C._______GmbH und für B._______ eingereicht hat und sich deshalb eine Reduzierung in analoger Anwendung des Art. 7 Abs. 4 VGKE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