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A-1742/2021 vom 7. September 2022</w:t>
      </w:r>
    </w:p>
    <w:p>
      <w:r>
        <w:t>Bundesverwaltungsgericht, 2022-09-07, FR</w:t>
      </w:r>
    </w:p>
    <w:p>
      <w:r>
        <w:rPr>
          <w:b/>
        </w:rPr>
        <w:t xml:space="preserve">Quelle: </w:t>
      </w:r>
      <w:r>
        <w:t>https://mcp.opencaselaw.ch/entscheid/bvger_A-1742_2021</w:t>
      </w:r>
    </w:p>
    <w:p>
      <w:r>
        <w:t>FR: TAF A-1742/2021 du 7 septembre 2022</w:t>
      </w:r>
    </w:p>
    <w:p>
      <w:r>
        <w:t>IT: TAF A-1742/2021 del 7 settembre 2022</w:t>
      </w:r>
    </w:p>
    <w:p>
      <w:pPr>
        <w:pStyle w:val="Heading2"/>
      </w:pPr>
      <w:r>
        <w:t>Regeste</w:t>
      </w:r>
    </w:p>
    <w:p>
      <w:r>
        <w:t>Assistance administrative</w:t>
      </w:r>
    </w:p>
    <w:p>
      <w:pPr>
        <w:pStyle w:val="Heading2"/>
      </w:pPr>
      <w:r>
        <w:t>Erwägungen</w:t>
      </w:r>
    </w:p>
    <w:p>
      <w:r>
        <w:rPr>
          <w:b/>
        </w:rPr>
        <w:t>E. 6.1.1</w:t>
      </w:r>
    </w:p>
    <w:p>
      <w:r>
        <w:t>Dans un grief que le Tribunal traitera en premier lieu, les recourants se plaignent d'une violation de la condition de la pertinence vraisemblable et du principe de la bonne foi en lien avec la question de la prescription. Ils considèrent qu'un délai de prescription de trois ans s'impose à l'administration fiscale française au titre de l'impôt sur les revenus perçus en 2010, 2011, 2012, 2013 et 2014. Ainsi, ils en déduisent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les recourants font valoir que la prescription de dix ans est en tout état de cause à ce jour atteinte pour l'année 2010. Ils se réfèrent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leur réplique, les recourants se réfèrent à l'arrêt du TAF A-2660/2018 du 11 décembre 2020, selon lequel la question de la prescription fiscale étrangère doit faire l'objet d'un examen dans la procédure d'assistance administrative suisse sous l'angle de la pertinence vraisemblable. Selon eux, aucune information ne peut donc être transmise à l'autorité française concernant l'année 2010. De plus, comme seule l'année 2010 indique un solde sur leur compte bancaire, toute forme d'entraide doit être rejetée pour ce motif encore. A titre subsidiaire enfin, les recourants requièrent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les recourants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Les recourants pourront, le cas échéant, faire valoir leurs moyens procéduraux devant les autorités compétentes françaises. On relèvera encore que les recourants ne font pas valoir qu'ils ne pourront plus soulever la prescription devant les autorités compétentes françaises. Il n'apparaît pas non plus, et les recourants ne l'ont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des recourants sont vraisemblablement pertinentes.</w:t>
      </w:r>
    </w:p>
    <w:p>
      <w:r>
        <w:rPr>
          <w:b/>
        </w:rPr>
        <w:t>E. 6.1.3</w:t>
      </w:r>
    </w:p>
    <w:p>
      <w:r>
        <w:t>Les recourants soutiennent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aux recourants de démontrer que ces éléments seraient faux. Or les recourants n'apportent aucun fait établi et concret propre à renverser la présomption de bonne foi de l'autorité requérante. Ils se limitent à exposer dans leur recours que « sur la base des informations en [leur] possession », ils comprennent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les recourants n'expliquent pas non plus. Quoi qu'il en soit, en admettant qu'il s'agisse d'un engagement, force serait de constater que ce dernier n'a pas été pris à l'égard des recourants, mais à l'égard de la Suisse, de telle sorte que les recourants ne sont pas légitimés à s'en prévaloir. De toute manière, le Tribunal ne perçoit pas en quoi la phrase précitée aboutirait, comme le soutient les recourants,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des recourants doit être rejeté. Il découle par ailleurs de ce qui précède, pour les mêmes motifs que ceux qui sont exposés plus haut, que le grief soulevé par les recourants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les recourants font valoir que la condition de la pertinence vraisemblable ne serait pas remplie, dès lors qu'ils étaient domiciliés à *** (Fribourg) en Suisse, depuis le 1er février 2011, et résidents fiscaux suisses, avant de partir à Dubaï. Ils se réfèrent notamment à des attestations de domicile de la Commune de *** (Fribourg) indiquant qu'ils étaient régulièrement domiciliés dans cette commune depuis le 1er février 2011, arrivés de **** en France. Ils précisent par ailleurs que les informations remises par la banque UBS indiquent aussi un domicile en dehors de France. Comme ils ont quitté la France au mois de janvier 2011 pour s'établir en Suisse, ils estiment qu'ils ne sauraient être considérés comme des résidents fiscaux visés par la demande d'assistance administrative déposée par l'autorité française à partir de cette date. Ils ajoutent qu'ils n'étaient pas résidents en France pendant une partie de la période sur laquelle porte la demande d'assistance. De leur point de vue, ils ne remplissent ainsi pas un des critères de la demande qui visait des « résidents fiscaux en France », alors qu'ils n'y ont résidé que « pendant une partie de la période visée ». Ils en déduisent ainsi qu'ils ne sont pas visés par la demande d'assistance et qu'aucune information à leur sujet ne peut être envoyée à la France. La demande déposée par la France ne serait pas suffisamment précise pour examiner la condition de la pertinence vraisemblable. A titre subsidiaire, ils demandent que seule une partie des informations soient remises à l'autorité française, à l'exclusion des informations relatives à la période pendant laquelle ils n'étaient pas résidents en France.</w:t>
      </w:r>
    </w:p>
    <w:p>
      <w:r>
        <w:rPr>
          <w:b/>
        </w:rPr>
        <w:t>E. 6.2.2</w:t>
      </w:r>
    </w:p>
    <w:p>
      <w:r>
        <w:t>En l'espèce, le Tribunal relève d'abord que, selon la jurisprudence bien établie du Tribunal fédéral, la détermination de la résidence fiscale des recourants durant la période visée est une question de fond, qui relève de l'application du droit interne français, et qui n'a pas à être examinée par la Suisse en tant qu'Etat requis dans le cadre d'une procédure d'assistance administrative (cf. consid. 3.9 supra). Pour ce motif déjà, le grief invoqué par les recourants doit être rejeté. Par surabondance de moyens, le Tribunal constate que les attestations de domicile de la Commune de *** (Fribourg) concernant les recourants indiquent clairement que ces derniers, inscrits et domiciliés dans cette commune dès le 1er février 2011, sont arrivés de **** en France. Ainsi force est de constater que l'affirmation des recourants selon laquelle ils n'auraient pas été résidents en France pendant la période sur laquelle porte la demande d'assistance administrative est, à première vue, contredite par les propres documents qu'ils ont produits. Les recourants insistent en outre sur le fait que les attestations précitées démontreraient qu'ils n'auraient pas résidés en France durant une partie de la période visée par la demande d'assistance administrative et en déduisent ainsi qu'ils ne seraient pas concernés par ladite demande. C'est méconnaître la nature de la présente procédure d'assistance administrative dont l'objet, comme cela a déjà été relevé plus haut, n'est pas de déterminer sur le fond la résidence fiscale des recourants, à plus forte raison dans la mesure où la demande porte sur plusieurs années. Le Tribunal fédéral a déjà précisé, lorsque la demande porte sur plusieurs périodes fiscales, comme ici en l'occurrence, qu'il n'a « jamais été question d'exiger de l'Etat requérant procédant ainsi qu'il fournisse pour chacune des périodes visées un élément concret de soupçon qui se rattache spécifiquement à chacune de ces périodes » (arrêt du TF 2C_1162/2016 du 4 octobre 2017 consid. 6.4). Une telle exigence n'est pas prévue par la Convention et irait à l'encontre du principe de la confiance qui préside en la matière. On précisera enfin que si les recourants entendent se prévaloir du fait qu'ils ne sont plus résidents français pour une partie de la période visée par la demande d'assistance administrative, ils pourront toujours faire valoir cet argument dans la procédure au fond devant l'autorité fiscale française. Par voie de conséquence, le Tribunal ne peut que rejeter la demande formulée par les recourants à titre subsidiaire tendant à ne transmettre à l'autorité française qu'une seule partie des informations.</w:t>
      </w:r>
    </w:p>
    <w:p>
      <w:r>
        <w:rPr>
          <w:b/>
        </w:rPr>
        <w:t>E. 6.2.3</w:t>
      </w:r>
    </w:p>
    <w:p>
      <w:r>
        <w:t>Par surabondance, on relèvera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requis dans lequel les recourants font valoir avoir été domiciliés fiscalement durant la période sous contrôle n'a pas à être examinée par la Cour de céans.</w:t>
      </w:r>
    </w:p>
    <w:p>
      <w:r>
        <w:rPr>
          <w:b/>
        </w:rPr>
        <w:t>E. 6.3.1</w:t>
      </w:r>
    </w:p>
    <w:p>
      <w:r>
        <w:t>Au moyen d'un troisième grief, les recourants reprochent à l'autorité inférieure d'avoir violé les principes de spécialité et de confidentialité. Ils soutiennent que l'adjonction « [...] y inclus des personnes tierces dans un contexte fiscal [...] » figurant entre parenthèses à la fin de la lettre de l'autorité française du 2 janvier 2020 adressée à l'AFC est contraire à l'art. 28 par. 2 CDI CH-FR et à l'ATF 146 II 150 consid. 7.2. Selon eux, la phrase précitée vise à autoriser l'autorité française à utiliser les informations litigieuses reçues contre « des personnes tierces ». Le dispositif de la décision attaquée serait par ailleurs contradictoire. Ils reconnaissent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Ils en déduisent cependant que selon « la vision de l'AFC et du fisc français », l'art. 28 par. 2 CDI CH-FR, mentionné dans le dispositif de la décision attaquée, autoriserait l'utilisation des renseignements transmis « contre des personnes tierces ». Ils considèrent ainsi qu'il existe un risque concret de violation du principe de spécialité. Ils se prévalent par ailleurs de leur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Ils soutiennent à ce sujet que l'autorité française envisagerait un usage des informations bancaires « libre de tout cadre légal et conventionnel ». Ils considèrent également que les échanges intervenus entre l'autorité française et l'AFC en janvier 2020 ont aggravé le risque d'utilisation non conforme des informations. Ils estiment encore que l'AFC perpétue une pratique, celle de l'utilisation des informations transmises à l'étranger contre des tiers (« sekundäre Verwendung »), rejetée par le Tribunal fédéral (ils se réfèrent à cet égard à l'ATF 147 II 13 et à l'arrêt du TF 2C_780/2018 du 1er février 2021 consid. 3.7.4). A titre subsidiaire enfin, ils ont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6.3.2</w:t>
      </w:r>
    </w:p>
    <w:p>
      <w:r>
        <w:t>En l'espèce, le Tribunal constate d'abord que les recourants invoquent un grief qui ne concerne que les intérêts de tiers et en aucun cas les leurs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font les recourants en critiquant l'adjonction qui figure dans la lettre de l'autorité française précitée. En invoquant en l'espèce la violation du principe de spécialité dans sa composante personnelle, les recourants soulèvent en réalité l'intérêt de tiers à être informés de l'ouverture de la procédure d'assistance administrative, ce qu'ils ne sont pas habilités à faire, raison pour laquelle leur grief doit être qualifié d'irrecevable. Cela étant, même si le Tribunal entrait en matière sur ce grief, il devrait être rejeté sur le fond pour les motifs qui suivent.</w:t>
      </w:r>
    </w:p>
    <w:p>
      <w:r>
        <w:rPr>
          <w:b/>
        </w:rPr>
        <w:t>E. 6.3.3</w:t>
      </w:r>
    </w:p>
    <w:p>
      <w:r>
        <w:t>On rappellera au préalable que le Tribunal fédéral a jugé, d'une manière qui lie la Cour de céans,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6.3.4</w:t>
      </w:r>
    </w:p>
    <w:p>
      <w:r>
        <w:t>A l'appui de leur recours et de leur réplique, les recourants insistent sur l'adjonction qui figure à la fin de la lettre de l'autorité française du 2 janvier 2020 (« [...] y inclus des personnes tierces dans un contexte fiscal [..] »), qui violerait, selon eux, le principe de spécialité. Ils perdent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les recourants, dans la mesure où la décision attaquée du 16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qu'indiquent les recourants,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que dans le cadre de la procédure relative à la/aux personne/s concernée/s »). Au vu de ce qui précède, les recourants ne peuvent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6.3.5</w:t>
      </w:r>
    </w:p>
    <w:p>
      <w:r>
        <w:t>Enfin, contrairement à ce que prétendent les recourants,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les recourants se réfèrent porte sur la qualité de partie des tiers non visés par une procédure administrative internationale en matière fiscale, mais dont les noms apparaissent dans la documentation à transmettre. Les recourants, en tant que personnes concernées, ne se trouvent pas dans la situation évoquée dans cet arrêt ; ils ont en effet pu participer à tous les stades de la présente procédure, et ainsi bénéficier d'une protection juridique. Le droit à l'autodétermination informationnelle des recourants a par conséquent été respecté. Au demeurant, et dans la mesure où ils entendent invoquer un droit à l'autodétermination informationnelle non pas pour eux-mêmes mais pour des tiers, ce grief devrait être rejeté pour les mêmes motifs que ceux qui sont exposés plus haut, étant encore précisé qu'il est de toute manière douteux que ce grief soit recevable (cf. consid. 6.3.2 supra).</w:t>
      </w:r>
    </w:p>
    <w:p>
      <w:r>
        <w:rPr>
          <w:b/>
        </w:rPr>
        <w:t>E. 6.3.6</w:t>
      </w:r>
    </w:p>
    <w:p>
      <w:r>
        <w:t>Au vu de ce qui précède, la décision attaquée respecte les principes de spécialité et de confidentialité. Mal fondé, le grief invoqué par les recourants doit être rejeté. Il s'ensuit que le grief soulevé par les recourants à titre subsidiaire doit également être rejeté.</w:t>
      </w:r>
    </w:p>
    <w:p>
      <w:r>
        <w:rPr>
          <w:b/>
        </w:rPr>
        <w:t>E. 6.4.1</w:t>
      </w:r>
    </w:p>
    <w:p>
      <w:r>
        <w:t>Au moyen d'un dernier grief, les recourants se plaignent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Ils soutiennent en substance qu'il existe un risque avéré de double imposition en raison du prélèvement de l'impôt à la source en Suisse et de l'imposition en France des revenus soumis à l'impôt à la source en Suisse. Ils se réfèrent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Ils ajoutent qu'ils ne se limitent pas à invoquer un risque de double imposition, mais qu'ils demandent l'application du droit en vigueur pour les années visées par la demande française, respectivement pour l'année 2010. Ils concluent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6.4.2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les recourants, n'a pas à être examiné dans le cadre de la présente procédure d'assistance administrative. Il s'agit en effet d'une question matérielle en ce sens qu'elle relève de la procédure de taxation des recourants et d'une éventuelle garantie leur permettant d'éviter une double imposition de leurs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6.4.3</w:t>
      </w:r>
    </w:p>
    <w:p>
      <w:r>
        <w:t>Même si les dispositions de l'aAFisE citées par les recourants dans leur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Les recourants ne sauraient en effet étendre l'objet du litige à l'application d'un Accord, dont les dispositions invoquées ne sont plus en vigueur et dont ils envisagent une application par analogie. Quand bien même ce grief serait recevable, on ne perçoit pas pour quels motifs il conviendrait d'appliquer les dispositions de l'aAFisE dans le cadre de la présente demande d'assistance administrative basée sur la CDI CH-FR ; Les recourants ne l'expliquent pas. Enfin, si les recourants estiment que c'est à tort que des informations n'ont pas été communiquées en vertu des dispositions de l'aAFisE dont ils demandent l'application, il leur appartient le cas échéant d'effectuer les démarches qu'ils jugent utiles.</w:t>
      </w:r>
    </w:p>
    <w:p>
      <w:r>
        <w:rPr>
          <w:b/>
        </w:rPr>
        <w:t>E. 6.4.4</w:t>
      </w:r>
    </w:p>
    <w:p>
      <w:r>
        <w:t>Pour autant qu'il soit recevable, le grief des recourants soulevé à titre principal et subsidiaire doit être rejeté.</w:t>
      </w:r>
    </w:p>
    <w:p>
      <w:r>
        <w:rPr>
          <w:b/>
        </w:rPr>
        <w:t>E. 7.1</w:t>
      </w:r>
    </w:p>
    <w:p>
      <w:r>
        <w:t>Vu les considérants qui précèdent, le recours est rejeté dans la mesure de sa recevabilité. Les recourants, qui succombent, doivent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