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A-1725/2021 vom 4. August 2021</w:t>
      </w:r>
    </w:p>
    <w:p>
      <w:r>
        <w:t>Bundesverwaltungsgericht, 2021-08-04, DE</w:t>
      </w:r>
    </w:p>
    <w:p>
      <w:r>
        <w:rPr>
          <w:b/>
        </w:rPr>
        <w:t xml:space="preserve">Quelle: </w:t>
      </w:r>
      <w:r>
        <w:t>https://mcp.opencaselaw.ch/entscheid/bvger_A-1725_2021</w:t>
      </w:r>
    </w:p>
    <w:p>
      <w:r>
        <w:t>FR: TAF A-1725/2021 du 4 août 2021</w:t>
      </w:r>
    </w:p>
    <w:p>
      <w:r>
        <w:t>IT: TAF A-1725/2021 del 4 agosto 2021</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bundesgerichtlichen Rückweisung ohne Weiteres gegeben. Im Folgenden sind zunächst die Kosten für das Beschwerdeverfahren A-897/2019 neu zu verlegen (nachfolgend E. 2). Anschliessend ist neu über die Parteientschädigung für das Beschwerdeverfahren A-897/2019 (nachfolgend E. 3) sowie über die Kosten und Entschädigungen für den vorliegenden Kostenentscheid (nachfolgend E. 4) zu befinden.</w:t>
      </w:r>
    </w:p>
    <w:p>
      <w:r>
        <w:rPr>
          <w:b/>
        </w:rPr>
        <w:t>E. 2.1</w:t>
      </w:r>
    </w:p>
    <w:p>
      <w:r>
        <w:t>Die Verfahrenskosten sind in der Regel der unterliegenden Partei aufzuerlegen (Art. 63 Abs. 1 des Bundesgesetzes über das Verwaltungsverfahren vom 20. Dezember 1968 [Verwaltungsverfahrensgesetz, VwVG, SR 172.021]). Die Vorinstanz trägt als Bundesbehörde von vornherein keine Verfahrenskosten (Art. 63 Abs. 2 VwVG).</w:t>
      </w:r>
    </w:p>
    <w:p>
      <w:r>
        <w:rPr>
          <w:b/>
        </w:rPr>
        <w:t>E. 2.2</w:t>
      </w:r>
    </w:p>
    <w:p>
      <w:r>
        <w:t>Das Bundesgericht hat die Sache zur Neubeurteilung des strittigen Investitionsbeitragsgesuchs im Sinne der Erwägungen an die Vorinstanz zurückgewiesen. Die Rückweisung einer Sache zum neuen Entscheid (mit noch offenem Ausgang) gilt praxisgemäss als vollständiges Obsiegen der beschwerdeführenden Partei (statt vieler BGE 141 V 281 E. 11.1). Die Beschwerdeführerin ist somit als obsiegend anzusehen und es sind ihr keine Verfahrenskosten aufzuerlegen. Der von ihr in der Höhe von Fr. 20'000.--geleistete Kostenvorschuss ist ihr nach Eintritt der Rechtskraft des vorliegenden Urteils zurückzuerstatten.</w:t>
      </w:r>
    </w:p>
    <w:p>
      <w:r>
        <w:rPr>
          <w:b/>
        </w:rPr>
        <w:t>E. 3.1</w:t>
      </w:r>
    </w:p>
    <w:p>
      <w:r>
        <w:t>Der obsiegenden Partei ist für das Verfahren vor dem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Das Bundesverwaltungsgericht legt die Entschädigung aufgrund der eingereichten Kostennote oder, wenn keine Kostennote eingereicht worden ist, aufgrund der Akten fest (Art. 14 Abs. 2 VGKE). Die Kosten der Vertretung umfassen das Anwaltshonorar (Art. 9 Abs. 1 Bst. a VGKE), die Auslagen (Bst. b) sowie gegebenenfalls die Mehrwertsteuer (Bst. c).</w:t>
      </w:r>
    </w:p>
    <w:p>
      <w:r>
        <w:rPr>
          <w:b/>
        </w:rPr>
        <w:t>E. 3.2</w:t>
      </w:r>
    </w:p>
    <w:p>
      <w:r>
        <w:t>Die anwaltlich vertretene Beschwerdeführerin gilt - wie vorstehend dargelegt - als obsiegend. Sie hat daher Anspruch auf eine Parteientschädigung. Die eingereichte Kostennote weist ein Honorar zuzüglich Auslagen (2% des Nettohonorars) und inklusive Mehrwertsteuerzuschlag von insgesamt Fr. 13'457.10 aus. Darin enthalten sind zugleich die geltend gemachten eineinhalb Stunden Aufwand für die Stellungnahme zur Neuverlegung der Kosten und der Parteientschädigung in diesem Verfahren, welche an anderer Stelle zu behandeln sind (vgl. unten E. 4.2). Unter Berücksichtigung der bereits durch das Bundesgericht festgestellten Komplexität der Streitsache (vgl. Urteil BGer 2C_409/2020 vom 24. März 2021 E. 7.2) und des nachvollziehbaren Zeitaufwandes erweist sich das für das Beschwerdeverfahren A-897/2019 geltend gemachte Nettohonorar (33.5 h à Fr. 350.--, mithin Fr. 11'725.--) als angemessen. Die Auslagen wurden in der Kostennote nicht ausgewiesen, weshalb sie aufgrund der Akten festzusetzen sind (vgl. statt vieler Urteile BVGer A-4221/2016 vom 7. Februar 2018 E. 19.4.2 und A-2161/2012 vom 1. April 2014 E. 24.4). Angemessen erscheint ein Betrag von gerundet Fr. 75.--. Weil die Beschwerdeführerin als steuerpflichtige juristische Person sodann vorsteuerabzugsberechtigt ist (vgl. https://www.uid.admin.ch/Detail.aspx?uid_id=CHE-105.947.143 [besucht am 06.07.2021]), kommt praxisgemäss kein Mehrwertsteuerzuschlag im Sinne von Art. 9 Abs. 1 Bst. c VGKE hinzu (vgl. statt vieler Urteile des Bundesverwaltungsgerichts [BVGer] A-3583/2020 vom 23. September 2020 E. 4.2, A-644/2020 vom 24. Juni 2020 E. 3.2.5 und A-5904/2018 vom 4. Dezember 2019 E. 7.2.2). Der vollumfänglich obsiegenden Beschwerdeführerin ist folglich eine Parteientschädigung in der Höhe von Fr. 11'800.-- zulasten der Vorinstanz zuzusprechen.</w:t>
      </w:r>
    </w:p>
    <w:p>
      <w:r>
        <w:rPr>
          <w:b/>
        </w:rPr>
        <w:t>E. 4.1</w:t>
      </w:r>
    </w:p>
    <w:p>
      <w:r>
        <w:t>Für das vorliegende Verfahren sind aufgrund des geringen Aufwands von vornherein keine Verfahrenskosten zu erheben (vgl. Art. 6 Bst. b VGKE).</w:t>
      </w:r>
    </w:p>
    <w:p>
      <w:r>
        <w:rPr>
          <w:b/>
        </w:rPr>
        <w:t>E. 4.2</w:t>
      </w:r>
    </w:p>
    <w:p>
      <w:r>
        <w:t>Für die Aufwendungen in diesem Verfahren verlangt die Beschwerdeführerin eine Parteientschädigung (exkl. MWST) von Fr. 535.50 (1.5 h x Fr. 350.-- + 2% von Fr. 525.-- [Auslagen]). Den Eingaben zufolge ergänzte der Rechtsvertreter der Beschwerdeführerin die bereits im Verfahren A-897/2019 erstellte Kostennote um eine Position und verfasste eine einseitige Stellungnahme dazu. Vor diesem Hintergrund erweist sich der geltend gemachte Zeitaufwand von 1.5 Stunden als zu hoch. Angemessen erscheint rund der halbe Zeitaufwand, mithin eine Parteientschädigung von gerundet Fr. 270.-- (inkl. der aufgrund der Akten festgesetzten Auslagen). Dieser Betrag ist der Beschwerdeführerin zulasten der Vorinstanz ohne Mehrwertsteuerzuschlag im Sinne von Art. 9 Abs. 1 Bst. c VGKE zuzusprechen (vgl. dazu bereits oben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