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A-1702/2018 vom 11. Oktober 2018</w:t>
      </w:r>
    </w:p>
    <w:p>
      <w:r>
        <w:t>Bundesverwaltungsgericht, 2018-10-11, DE</w:t>
      </w:r>
    </w:p>
    <w:p>
      <w:r>
        <w:rPr>
          <w:b/>
        </w:rPr>
        <w:t xml:space="preserve">Quelle: </w:t>
      </w:r>
      <w:r>
        <w:t>https://mcp.opencaselaw.ch/entscheid/bvger_A-1702_2018</w:t>
      </w:r>
    </w:p>
    <w:p>
      <w:r>
        <w:t>FR: TAF A-1702/2018 du 11 octobre 2018</w:t>
      </w:r>
    </w:p>
    <w:p>
      <w:r>
        <w:t>IT: TAF A-1702/2018 del 11 ottobre 2018</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Eine solche liegt im vorliegenden Fall nicht vor und die Vorinstanz ist eine Behörde im Sinne von Art. 33 VGG, zumal sie öffentlich-rechtliche Aufgaben des Bundes erfüllt (Art. 33 Bst. h VGG i.V.m. Art. 60 Abs. 2bis BVG [SR 831.40]).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Die Bestimmungen des Bundesgesetzes vom 6. Oktober 2000 über den Allgemeinen Teil des Sozialversicherungsrechts (ATSG, SR 830.1), insbesondere dessen 2. Abschnitt über das Sozialversicherungsverfahren, sind für den Bereich des BVG mangels eines entsprechenden Verweises nicht anwendbar (Art. 2 ATSG e contrario).</w:t>
      </w:r>
    </w:p>
    <w:p>
      <w:r>
        <w:rPr>
          <w:b/>
        </w:rPr>
        <w:t>E. 1.3</w:t>
      </w:r>
    </w:p>
    <w:p>
      <w:r>
        <w:t>Die Beschwerdeführerin ist als Adressatin der angefochtenen Verfügung durch diese besonders berührt und damit grundsätzlich nach Art. 48 Abs. 1 VwVG zur Beschwerde legitimiert. Ob sie - nachdem sie mitgeteilt hat, die Voraussetzungen für den Zwangsanschluss nicht zu bestreiten und dass die Angelegenheit für sie nach der Korrektur der Liste ihres zu versichernden Personals für sie nun in Ordnung sei (vgl. vorne Sachverhalt Bst. E) - noch über ein aktuelles schutzwürdiges Interesse an der Aufhebung der angefochtenen Verfügung hat, braucht aufgrund nachfolgender Erwägungen nicht weiter erläutert zu werden.</w:t>
      </w:r>
    </w:p>
    <w:p>
      <w:r>
        <w:rPr>
          <w:b/>
        </w:rPr>
        <w:t>E. 1.4</w:t>
      </w:r>
    </w:p>
    <w:p>
      <w:r>
        <w:t>Auf die im Übrigen frist- und formgerecht eingereichte Beschwerde (Art. 50 Abs. 1 und Art. 52 Abs. 1 VwVG) ist demnach einzutreten.</w:t>
      </w:r>
    </w:p>
    <w:p>
      <w:r>
        <w:rPr>
          <w:b/>
        </w:rPr>
        <w:t>E. 2</w:t>
      </w:r>
    </w:p>
    <w:p>
      <w:r>
        <w:t>Das Bundesverwaltungsgericht kann den angefochtenen Entscheid in vollem Umfang überprüfen (vgl. Art. 49 VwVG). Streitgegenstand in der nachträglichen Verwaltungsrechtspflege ist das Rechtsverhältnis, welches Gegenstand der angefochtenen Verfügung bildet, soweit es umstritten ist. Im Lauf des Beschwerdeverfahrens darf der Streitgegenstand weder erweitert noch qualitativ verändert werden; er kann sich höchstens um nicht mehr streitige Punkte reduzieren (Moser et al., Prozessieren vor dem Bundesverwaltungsgericht, 2. Aufl. 2013, Rz. 2.8 und Rz. 2.213 mit Hinweisen). Die Voraussetzungen des befristeten Zwangsanschlusses für die Zeit vom 1. Januar 1989 bis zum 31. Dezember 1998 werden vorliegend nicht bestritten; die Beschwerdeführerin macht lediglich geltend, vom 1. Januar 2010 bis zum 31. Dezember 2016 kein der beruflichen Vorsorge unterstelltes Personal beschäftigt zu haben, sondern erst ab 2017 wieder einen Anschluss zu benötigen (vgl. vorne Sachverhalt Bst. C.a). Zu prüfen bleibt demnach lediglich, ob der unbefristete Zwangsanschluss ab dem 1. Januar 2010 zu Recht festgestellt wurde (vgl. vorne Sachverhalt Bst. B).</w:t>
      </w:r>
    </w:p>
    <w:p>
      <w:r>
        <w:rPr>
          <w:b/>
        </w:rPr>
        <w:t>E. 3.1</w:t>
      </w:r>
    </w:p>
    <w:p>
      <w:r>
        <w:t>Grundsätzlich der obligatorischen Versicherung des BVG unterstellt sind die bei der Alters- und Hinterlassenenversicherung (AHV) versicherten Arbeitnehmenden (Art. 5 Abs. 1 BVG), die das 17. Altersjahr überschritten haben und bei einem Arbeitgeber mehr als den gesetzlichen Jahresmindestlohn (nachfolgend: Grenzbetrag) gemäss Art. 2 Abs. 1 BVG in Verbindung mit Art. 5 der Verordnung vom 18. April 1984 über die berufliche Alters-, Hinterlassenen und Invalidenvorsorge (BVV 2, SR 831.441.1) erzielen (vgl. statt vieler Urteil des BVGer A-777/2018 vom 9. August 2018 E. 2.1 mit Hinweisen). Ist ein Arbeitnehmer weniger als ein Jahr lang bei einer Arbeitgeberin beschäftigt, so gilt derjenige Lohn, den er bei ganzjähriger Beschäftigung erzielen würde, als Jahreslohn (Art. 2 Abs. 2 BVG). Gemäss Art. 7 Abs. 2 BVG entspricht der massgebende Lohn für die Unterstellung unter die BVG-Pflicht dem massgebenden Lohn nach dem Bundesgesetz vom 20. Dezember 1946 über die Alters- und Hinterlassenenversicherung (AHVG, SR 831.10), wobei der Bundesrat Abweichungen zulassen kann. Die Vorinstanz ist demnach grundsätzlich an die Lohnbescheinigungen der Ausgleichskasse gebunden und hat darauf abzustellen (statt vieler Urteil des BVGer A-5243/2017 vom 16. August 2018 E. 3.1.1 mit Hinweis).</w:t>
      </w:r>
    </w:p>
    <w:p>
      <w:r>
        <w:rPr>
          <w:b/>
        </w:rPr>
        <w:t>E. 3.2.1</w:t>
      </w:r>
    </w:p>
    <w:p>
      <w:r>
        <w:t>Beschäftigt eine Arbeitgeberin Arbeitnehmer, die obligatorisch zu versichern sind, muss sie eine in das Register für die berufliche Vorsorge eingetragene Vorsorgeeinrichtung errichten oder sich einer solchen anschliessen (Art. 11 Abs. 1 BVG). Der Anschluss erfolgt jeweils rückwirkend auf das Datum des Stellenantrittes der zu versichernden Person (Art. 11 Abs. 3 BVG i.V.m. Art. 10 Abs. 1 BVG).</w:t>
      </w:r>
    </w:p>
    <w:p>
      <w:r>
        <w:rPr>
          <w:b/>
        </w:rPr>
        <w:t>E. 3.2.2</w:t>
      </w:r>
    </w:p>
    <w:p>
      <w:r>
        <w:t>Gemäss Art. 11 Abs. 4 BVG überprüft die Ausgleichskasse, ob die von ihr erfassten Arbeitgeber einer registrierten Vorsorgeeinrichtung angeschlossen sind. Sie fordert Arbeitgeber, die ihrer Anschlusspflicht nicht nachkommen, auf, sich innerhalb von zwei Monaten einer registrierten Vorsorgeeinrichtung anzuschliessen (Art. 11 Abs. 5 BVG). Kommt der Arbeitgeber der Aufforderung der Ausgleichskasse nicht fristgemäss nach, so meldet ihn diese der Auffangeinrichtung rückwirkend zum Anschluss (Art. 11 Abs. 6 BVG).</w:t>
      </w:r>
    </w:p>
    <w:p>
      <w:r>
        <w:rPr>
          <w:b/>
        </w:rPr>
        <w:t>E. 3.2.3</w:t>
      </w:r>
    </w:p>
    <w:p>
      <w:r>
        <w:t>Die Auffangeinrichtung ist eine Vorsorgeeinrichtung (Art. 60 Abs. 1 BVG) und verpflichtet, Arbeitgeber, die ihrer Anschlusspflicht nicht nachkommen, anzuschliessen (Art. 60 Abs. 2 Bst. a BVG). Gemäss Art. 60 Abs. 2bis BVG kann die Auffangeinrichtung zur Erfüllung ihrer Aufgaben nach Art. 60 Abs. 2 Bst. a und b BVG Verfügungen erlassen. Wie der rechtsgestaltende Zwangsanschluss nach Art. 60 Abs. 2 Bst. a BVG erfolgt der Anschluss ex lege nach Art. 60 Abs. 2 Bst. d BVG i.V.m. Art. 2 Abs. 1 der Verordnung vom 28. August 1985 über die Ansprüche der Auffangeinrichtung der beruflichen Vorsorge (SR 831.434), der feststellenden Charakter hat und den Fall betrifft, in welchem ein gesetzlicher Anspruch eines Arbeitnehmers auf Versicherungs- oder Freizügigkeitsleistung zu einem Zeitpunkt entsteht, an dem seine Arbeitgeberin noch keiner Vorsorgeeinrichtung angeschlossen ist, rückwirkend auf den Zeitpunkt, in welchem zu versicherndes Personal erstmals seine Stelle antritt (vgl. ausführlich Urteil des BVGer A-6709/2017 vom 20. Juni 2018 gesamte E. 3.3 mit Hinweisen). Der Zwangsanschluss erfolgt in der Regel unbefristet. Ein befristeter Anschluss wird in der Praxis (nur) dann verfügt, wenn sich eine Arbeitgeberin zwar einer Vorsorgeeinrichtung angeschlossen hat, für eine bestimmte Zeitspanne aber eine Lücke besteht (vgl. statt vieler Urteil des BVGer A-777/2018 vom 9. August 2018 E. 2.3.1 mit weiteren Hinweisen).</w:t>
      </w:r>
    </w:p>
    <w:p>
      <w:r>
        <w:rPr>
          <w:b/>
        </w:rPr>
        <w:t>E. 3.3</w:t>
      </w:r>
    </w:p>
    <w:p>
      <w:r>
        <w:t>Die Grenzbeträge beliefen sich für die fraglichen Jahre auf Fr. 20'520.- (2010), Fr. 20'880.- (2011, 2012), Fr. 21'060.- (2013), Fr. 21'150.- (2016, 2017; Art. 5 BVV 2 in der jeweils geltenden Fassung; AS 2008 4725, AS 2010 4587, AS 2012 6347 und AS 2014 3343; vgl. auch vorne E. 3.1). Ausgehend von den seitens der zuständigen Ausgleichskasse korrigierten Lohnlisten der Beschwerdeführerin (vgl. vorne Sachverhalt Bst. C.g) erklärt die Vorinstanz in ihrer Vernehmlassung, die Arbeitnehmerin G._______ habe 2009 und 2010 nicht der BVG-Versicherungspflicht unterstanden. Selbst wenn nun deren Versicherungspflicht entfällt und mit der Beschwerdeführerin davon auszugehen wäre, dass dies auch bei F._______ der Fall wäre (vgl. vorne Sachverhalt Bst. E), so hat die Beschwerdeführerin ab dem 1. Januar 2010 eine weitere Mitarbeiterin zu einem jährlichen Lohn von Fr. 21'288.- und damit zumindest eine versicherungspflichtige Person beschäftigt, womit ab vorgenanntem Zeitpunkt eine Anschlusspflicht zu bejahen ist (vgl. vorne E. 3.2.1). In den darauffolgenden Jahren wurden aktenkundig und unbestrittenermassen teilweise ebenfalls versicherungspflichtige Arbeitnehmer beschäftigt, so z.B. 2013, 2016 und 2017. Ausnahmen von der Versicherungspflicht nach Art. 1j BVV 2 sind nicht ersichtlich. Die Beschwerdeführerin war jedoch lediglich vom 1. Januar 1999 bis zum 31. Dezember 2008 einer Vorsorgeeinrichtung angeschlossen (vgl. vorne Sachverhalt Bst. A.c, A.g. und C.a). Diverse Arbeitnehmer haben die Beschwerdeführerin sodann aktenkundig bereits wieder verlassen und damit Anspruch auf eine Freizügigkeitsleistung erworben (vgl. auch vorangehende E. 3.2.3). Eine weitergehende Sachverhaltsabklärung kann unterbleiben: Auch wenn die Beschwerdeführerin in den Jahren 2012, 2014 und 2015 kein obligatorisch zu versicherndes Personal beschäftigt hätte, so bestünde der Anschluss ohne Kündigung seitens der Vorinstanz bzw. ohne neuen Anschluss der Beschwerdeführerin an eine andere Vorsorgeeinrichtung weiter, wobei in dieser Zeit keine Beiträge zu entrichten wären (vgl. statt vieler Urteil des BGer 9C_141/2013 vom 7. April 2013 E. 2 und Urteil des BVGer C-3460/2011 vom 17. September 2013 E. 3.3.2 mit weiteren Hinweisen).</w:t>
      </w:r>
    </w:p>
    <w:p>
      <w:r>
        <w:rPr>
          <w:b/>
        </w:rPr>
        <w:t>E. 3.4</w:t>
      </w:r>
    </w:p>
    <w:p>
      <w:r>
        <w:t>Somit wurde der Zwangsanschluss auch für die Periode ab 1. Januar 2010 zu Recht festgestellt. Die Beschwerde ist demnach abzuweisen.</w:t>
      </w:r>
    </w:p>
    <w:p>
      <w:r>
        <w:rPr>
          <w:b/>
        </w:rPr>
        <w:t>E. 4</w:t>
      </w:r>
    </w:p>
    <w:p>
      <w:r>
        <w:t>Ausgangsgemäss hat die Beschwerdeführerin die Verfahrenskosten vor dem Bundesverwaltungsgericht zu tragen (vgl. Art. 63 Abs. 1 VwVG), Diese sind auf Fr. 600.- festzusetzen (vgl. Art. 2 Abs. 1 i.V.m. Art. 4 des Reglements vom 21. Februar 2008 über die Kosten und Entschädigungen vor dem Bundesverwaltungsgericht [VGKE; SR 173.320.2]). Dieser Betrag ist dem Kostenvorschuss zu entnehmen und der Restbetrag von Fr. 200.- der Beschwerdeführerin zurückzuerstatten. Entsprechend dem Prozessausgang ist der ohnehin nicht anwaltlich vertretenen Beschwerdeführerin keine Parteientschädigung zuzusprechen (Art. 64 Abs. 1 VwVG i.V.m. Art. 7 Abs. 1 VGKE e contrario). Die Vorinstanz hat gemäss Art. 7 Abs. 2 VGKE sodann keinen Anspruch auf Entrichtung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