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A-1699/2022 vom 21. August 2023</w:t>
      </w:r>
    </w:p>
    <w:p>
      <w:r>
        <w:t>Bundesverwaltungsgericht, 2023-08-21, DE</w:t>
      </w:r>
    </w:p>
    <w:p>
      <w:r>
        <w:rPr>
          <w:b/>
        </w:rPr>
        <w:t xml:space="preserve">Quelle: </w:t>
      </w:r>
      <w:r>
        <w:t>https://mcp.opencaselaw.ch/entscheid/bvger_A-1699_2022</w:t>
      </w:r>
    </w:p>
    <w:p>
      <w:r>
        <w:t>FR: TAF A-1699/2022 du 21 août 2023</w:t>
      </w:r>
    </w:p>
    <w:p>
      <w:r>
        <w:t>IT: TAF A-1699/2022 del 21 agosto 2023</w:t>
      </w:r>
    </w:p>
    <w:p>
      <w:pPr>
        <w:pStyle w:val="Heading2"/>
      </w:pPr>
      <w:r>
        <w:t>Regeste</w:t>
      </w:r>
    </w:p>
    <w:p>
      <w:r>
        <w:t>Elektrische Erzeugnisse</w:t>
      </w:r>
    </w:p>
    <w:p>
      <w:pPr>
        <w:pStyle w:val="Heading2"/>
      </w:pPr>
      <w:r>
        <w:t>Erwägungen</w:t>
      </w:r>
    </w:p>
    <w:p>
      <w:r>
        <w:rPr>
          <w:b/>
        </w:rPr>
        <w:t>E. 1</w:t>
      </w:r>
    </w:p>
    <w:p>
      <w:r>
        <w:t>Auf die Beschwerde wird nicht eingetreten.</w:t>
      </w:r>
    </w:p>
    <w:p>
      <w:r>
        <w:rPr>
          <w:b/>
        </w:rPr>
        <w:t>E. 2</w:t>
      </w:r>
    </w:p>
    <w:p>
      <w:r>
        <w:t>Die Verfahrenskosten von Fr. 300.- werden dem Beschwerdeführer auferlegt und dem geleisteten Kostenvorschuss von Fr. 1'000.- entnommen. Der Restbetrag von Fr. 700.- wird dem Beschwerdeführer nach Eintritt der Rechtskraft dieses Urteils zurückerstattet.</w:t>
      </w:r>
    </w:p>
    <w:p>
      <w:r>
        <w:rPr>
          <w:b/>
        </w:rPr>
        <w:t>E. 3</w:t>
      </w:r>
    </w:p>
    <w:p>
      <w:r>
        <w:t>Es wird keine Parteientschädigung zugesprochen.</w:t>
      </w:r>
    </w:p>
    <w:p>
      <w:r>
        <w:rPr>
          <w:b/>
        </w:rPr>
        <w:t>E. 4</w:t>
      </w:r>
    </w:p>
    <w:p>
      <w:r>
        <w:t>Dieses Urteil geht an den Beschwerdeführer und die Vorinstanz. Für die Rechtsmittelbelehrung wird auf die nächste Seite verwiesen. Der vorsitzende Richter: Der Gerichtsschreiber: Maurizio Greppi Tobias Grasdorf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Zustellung erfolgt an: - den Beschwerdeführer (Gerichtsurkunde) - die Vorinstanz (Ref-Nr. [...]; Einschreiben)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