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A-1690/2006 vom 13. April 2007</w:t>
      </w:r>
    </w:p>
    <w:p>
      <w:r>
        <w:t>Bundesverwaltungsgericht, 2007-04-13, DE</w:t>
      </w:r>
    </w:p>
    <w:p>
      <w:r>
        <w:rPr>
          <w:b/>
        </w:rPr>
        <w:t xml:space="preserve">Quelle: </w:t>
      </w:r>
      <w:r>
        <w:t>https://mcp.opencaselaw.ch/entscheid/bvger_A-1690_2006</w:t>
      </w:r>
    </w:p>
    <w:p>
      <w:r>
        <w:t>FR: TAF A-1690/2006 du 13 avril 2007</w:t>
      </w:r>
    </w:p>
    <w:p>
      <w:r>
        <w:t>IT: TAF A-1690/2006 del 13 aprile 2007</w:t>
      </w:r>
    </w:p>
    <w:p>
      <w:pPr>
        <w:pStyle w:val="Heading2"/>
      </w:pPr>
      <w:r>
        <w:t>Regeste</w:t>
      </w:r>
    </w:p>
    <w:p>
      <w:r>
        <w:t>Mineralölsteuer</w:t>
      </w:r>
    </w:p>
    <w:p>
      <w:pPr>
        <w:pStyle w:val="Heading2"/>
      </w:pPr>
      <w:r>
        <w:t>Erwägungen</w:t>
      </w:r>
    </w:p>
    <w:p>
      <w:r>
        <w:rPr>
          <w:b/>
        </w:rPr>
        <w:t>E. 1.1</w:t>
      </w:r>
    </w:p>
    <w:p>
      <w:r>
        <w:t>Bis zum 31. Dezember 2006 unterlagen erstinstanzliche Verfügungen oder Beschwerdeentscheide der OZD der Beschwerde an die ZRK (aArt. 109 Abs. 1 Bst. c des Zollgesetzes vom 1. Oktober 1925 [ZG, SR 631.0]). Das Bundesverwaltungsgericht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Verfügungen der OZD betreffend den Nachbezug von Mineralölsteuer unterliegen der Beschwer-de an das Bundesverwaltungsgericht (Art. 109 Abs. 1 Bst. c ZG in Verbindung mit Art. 10 ZG und Art. 33 Bst. d VGG). Dieses ist somit zur Beurteilung der Beschwerde sachlich wie funktionell zuständig.</w:t>
      </w:r>
    </w:p>
    <w:p>
      <w:r>
        <w:rPr>
          <w:b/>
        </w:rPr>
        <w:t>E. 1.2</w:t>
      </w:r>
    </w:p>
    <w:p>
      <w:r>
        <w:t>Die Beschwerdeführerin bestreitet nicht die als steuerbefreit behandelten Treibstoffverkäufe in mengenmässiger sowie die Nachforderung in der Höhe von Fr. 90'094.55 in rechnerischer und damit in tatsächlicher Hinsicht, sondern ihre subjektive Nachzahlungspflicht.</w:t>
      </w:r>
    </w:p>
    <w:p>
      <w:r>
        <w:rPr>
          <w:b/>
        </w:rPr>
        <w:t>E. 2.1</w:t>
      </w:r>
    </w:p>
    <w:p>
      <w:r>
        <w:t>Der Bund erhebt eine Mineralölsteuer und einen Mineralölsteuerzuschlag u.a. auf Treibstoffen (Art. 1 des Mineralölsteuergesetzes vom 21. Juni 1996 [MinöStG, SR 641.61]). Steuerobjekt bildet die Einfuhr solcher Treibstoffe ins Inland (Art. 3 Abs. 1 Bst. b MinöStG). Steuerpflichtige Personen sind u.a. die Importeure sowie Personen, die unversteuerte Waren abgeben, verwenden oder verwenden lassen (Art. 9 Bst. a und d MinöStG). Von der Steuer befreit sind u.a. Treibstoffe, die nach internationalen Abkommen steuerfrei sind (Art. 17 Abs. 1 Bst. a MinöStG).</w:t>
      </w:r>
    </w:p>
    <w:p>
      <w:r>
        <w:rPr>
          <w:b/>
        </w:rPr>
        <w:t>E. 2.2</w:t>
      </w:r>
    </w:p>
    <w:p>
      <w:r>
        <w:t>Art. 26 der Mineralölsteuerverordnung vom 20. November 1996 (MinöStV, SR 641.611) zählt die Begünstigten von steuerbefreiten Lieferungen von Treibstoffen im Rahmen der diplomatischen und konsularischen Beziehungen auf. Steuerfreier Treibstoff kann verwendet werden, sofern: a. die begünstigte Person einen Treibstoffausweis besitzt; b. das im Treibstoffausweis aufgeführte Fahrzeug mit dem Treibstoff betankt wird; c. das Fahrzeug für den amtlichen Gebrauch oder den ausschliesslichen Gebrauch der begünstigten Person verwendet wird; d. der Treibstoff bei einer von der Oberzolldirektion bezeichneten Tankstelle bezogen wird (Art. 27 MinöStV). Treibstoffausweise sind bei den zuständigen Ausgabestellen zu beantragen; die Oberzolldirektion bezeichnet diese. Der Antragsteller verpflichtet sich auf amtlichem Formular, den Treibstoff nach Artikel 27 Buchstaben b und c zu verwenden (Art. 28 Abs. 1 und 2 MinöStV).</w:t>
      </w:r>
    </w:p>
    <w:p>
      <w:r>
        <w:rPr>
          <w:b/>
        </w:rPr>
        <w:t>E. 3.1</w:t>
      </w:r>
    </w:p>
    <w:p>
      <w:r>
        <w:t>Gemäss Art. 12 des Bundesgesetzes vom 22. März 1974 über das Verwaltungsstrafrecht (VStrR, SR 313.0)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oder der Empfänger der Vergütung oder des Beitrages. Zu den gestützt auf Art. 12 Abs. 2 VStrR Nachleistungs-pflichtigen gehören insbesondere jene Personen, welche dem Kreis der Zollzahlungspflichtigen nach Art. 13 und 9 ZG entsprechen, denn sie gelten ipso facto als durch die Nichtbezahlung der Abgabe bevorteilt (statt vieler: Entscheide der ZRK vom 9. März 2004 [ZRK 2003-060] E. 2c bb, vom 12. November 2003 [ZRK 2003-013] E. 2a; vgl. Urteil des Bundesgerichts 2A.82/2005 vom 23. August 2005 E. 3.1). Für diese Gruppe bewirkt Art. 12 Abs. 2 VStrR damit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2.2.1, 2A.603/2003 vom 10. Mai 2004 E. 3.3.1).</w:t>
      </w:r>
    </w:p>
    <w:p>
      <w:r>
        <w:rPr>
          <w:b/>
        </w:rPr>
        <w:t>E. 3.2</w:t>
      </w:r>
    </w:p>
    <w:p>
      <w:r>
        <w:t>Darüber hinaus sind weitere Personen leistungspflichtig, wenn sie durch die Widerhandlung in den Genuss des unrechtmässigen Vorteils gelangen bzw. wenn sie aus der Nichtleistung der Abgabe einen wirtschaftlichen Vorteil gezogen haben. Der unrechtmässige Vorteil, in dessen Genuss der Leistungspflichtige nach Art. 12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(Urteil des Bundesgerichts 2A.199/2004 vom 15. November 2004 E. 2.2.1, mit Hinweisen auf weitere Rechtsprechung; BGE 110 Ib 310 E. 2b). Ein solcher Vorteil liegt vor, wenn die unverzollt eingeführte Ware zu einem Preis erworben wird, der günstiger ist als der auf dem legalen Markt übliche. Er kann sich beispielsweise auch daraus ergeben, dass der Erwerber in den Besitz von Warenmengen gelangt, die die Importkontingente übersteigen, und er dadurch seinen Umsatz markant erhöht (Urteile des Bundesgerichts 2A.552/2001 vom 14. Mai 2002 E. 3.4.2, 2A.233/1999 vom 2. Dezember 1999 E. 3b, je mit Hinweisen auf weitere Rechtsprechung).</w:t>
      </w:r>
    </w:p>
    <w:p>
      <w:r>
        <w:rPr>
          <w:b/>
        </w:rPr>
        <w:t>E. 3.3</w:t>
      </w:r>
    </w:p>
    <w:p>
      <w:r>
        <w:t>Das Bundesgericht hat in früheren Urteilen in Frage gestellt, jedoch nicht entschieden, ob Art. 12 Abs. 2 VStrR ausser den unmittelbar durch die Widerhandlung Begünstigten auch die nur indirekt Begünstigten, die die illegal eingeführte Ware gutgläubig erwerben, der Nachleistungspflicht unterwerfen wolle (Urteil des Bundesgerichts 2A.233/1999 vom 2. Dezember 1999 E. 3d, mit Hinweisen auf weitere unveröffentlichte Urteile des Bundesgerichts). In diesem Zusammenhang hielt die ZRK - sich auf diverse Bundesgerichtsurteile stützend - in konstanter Rechtsprechung dafür, es sei zu unterscheiden zwischen den direkt Bevorteilten und den indirekt Bevorteilten. Von einem direkten Vorteil sei dann auszugehen, wenn er in unmittelbarem Zusammenhang mit dem Nichtbezahlen der Abgaben stehe. Es sei jeweils im Einzelfall zu prüfen, ob der Vorteil ein direkter sei oder nicht. Beim direkt Bevorteilten sei für die Leistungspflicht irrelevant, ob er in gutem Glauben gehandelt habe und die gebotene Vorsicht habe walten lassen. Er hafte so oder anders für den gesamten Abgabebetrag (s. E. 3.1 hievor). Ohne bis anhin die Frage nach der Leistungspflicht des indirekt Bevorteilten abschliessend zu beurteilen, stellte die ZRK klar, der Vorteil sei beispielsweise dann indirekt, wenn eine illegal eingeführte Ware im Inland bereits über mehrere Handelsstufen weiterveräussert worden sei und in diesem Sinne eine gewisse Distanz zum die Gesetzgebung verletzenden Vorfall bestehe. Der bösgläubig indirekt Bevorteilte hafte wie derjenige, der einen direkten Vorteil ziehe. Die ZRK hielt jedoch für problematisch, eine indirekt bevorteilte Person der Abgabepflicht von Art. 12 Abs. 2 VStrR gleicherweise zu unterstellen wie die direkt bevorteilte, wenn sie die Ware in gutem Glauben erworben hat. Eine gutgläubig indirekt bevorteilte Person habe - auch gestützt auf die Rechtsprechung des Bundesgerichts - höchstens für den Wert ihres effektiven Vorteils einzustehen und nicht für den gesamten Betrag der dem Bund vorenthaltenen Abgaben. Anders als beim direkt Begünstigten und beim Bösgläubigen müsse bei ihr die Frage des Umfangs des Vorteils folglich abgeklärt werden (Entscheid der ZRK vom 1. September 1999 [ZRK 1998-011] E. 2b cc, mit zahlreichen Hinweisen). Es sei präzisierend, aber unpräjudiziell anzumerken, dass eine in Umgehung der Zollvorschriften in die Schweiz eingeführte Ware, welche über mehrere Handelsstufen im Inland weiter veräussert werde, etwa beim (gutgläubigen) Endverbraucher nur schwer vorstellbar einen die Leistungspflicht gemäss Art. 12 Abs. 2 VStrR auslösenden Vermögens-vorteil bewirken könne; dies schon deshalb, weil die Zwischenhändler nacheinander - ob bös- oder gutgläubig - bestrebt sein würden, den durch die Zollwiderhandlung bewirkten wirtschaftlichen Vorteil für sich zu behalten und deshalb infolge mehrerer Handelsstufen keine Preisvorteile für den Endkonsumenten mehr vorstellbar seien, die als relevant zu berücksichtigen wären (zum Ganzen statt vieler: Entscheid der ZRK vom 12. November 2003 [ZRK 2003-013] E. 2a, mit Hinweisen).</w:t>
      </w:r>
    </w:p>
    <w:p>
      <w:r>
        <w:rPr>
          <w:b/>
        </w:rPr>
        <w:t>E. 3.4</w:t>
      </w:r>
    </w:p>
    <w:p>
      <w:r>
        <w:t>Voraussetzung für die Anwendbarkeit von Art. 12 Abs. 2 VStrR ist eine objektive Widerhandlung gegen die Verwaltungsgesetzgebung des Bundes. Die Leistungspflicht hängt jedoch weder von einer strafrechtlichen Verantwortlichkeit noch von einem Verschulden oder gar der Einleitung eines Strafverfahrens ab (zur Publikation vorgesehener BGE 2A.242/2006 vom 2. Februar 2007 E. 2.1, mit Hinweisen; BGE 106 Ib 221 E. 2c). Vielmehr genügt es, dass der durch die Nichtleistung der Abgabe entstandene Grund in einer Widerhandlung im objektiven Sinne liegt (BGE 129 II 167, 115 Ib 360 E. 3a; Entscheid der Eidg. Steuerrekurskommission vom 25. November 2005, veröffentlicht in Verwaltungspraxis der Bundesbehörden [VPB] 70.60 E. 3b; Kurt Hauri, Verwaltungsstrafrecht (VStrR), Motive - Doktrin - Rechtsprechung, Bern 1998, S. 36).</w:t>
      </w:r>
    </w:p>
    <w:p>
      <w:r>
        <w:rPr>
          <w:b/>
        </w:rPr>
        <w:t>E. 3.5</w:t>
      </w:r>
    </w:p>
    <w:p>
      <w:r>
        <w:t>Das Bundesverwaltungsgericht sieht sich nicht veranlasst, von dieser konstanten Rechtsprechung zu Art. 12 VStrR abzuweichen.</w:t>
      </w:r>
    </w:p>
    <w:p>
      <w:r>
        <w:rPr>
          <w:b/>
        </w:rPr>
        <w:t>E. 4.1</w:t>
      </w:r>
    </w:p>
    <w:p>
      <w:r>
        <w:t>Als Importeurin der fraglichen Treibstoffe und als diejenige Person, welche die Treibstoffe an die betroffenen Tankstellenbetreiber lieferte, trifft die Beschwerdeführerin zweifelsfrei und unbestrittenermassen die subjektive Steuerpflicht für die geschuldete Mineralölsteuer (E. 2.1 hievor). Als subjektiv abgabepflichtige Person ist sie durch die widerrechtlich als steuerbefreit behandelten Treibstoffverkäufe direkt bevorteilt, weil sie die infolge der Widerhandlungen geschuldeten Mineralölsteuern unrecht-mässig zurückerstattet erhielt. Sie haftet solidarisch für den gesamten zu Unrecht erstatteten Steuerbetrag (E. 3.1 hievor). Entgegen der Auffassung der Beschwerdeführerin ändert nichts an diesem Ergebnis, dass sie die zurückerstatteten Steuerbeträge den Tankstellenbetreibern vergütete, wie sie behauptet. Als subjektiv steuerpflichtige Person gelangt sie von Gesetzes wegen "in den Genuss des unrechtmässigen Vorteils" im Sinne von Art. 12 Abs. 2 VStrR, der hier durch die unrechtmässige Rückerstattung von Mineralölsteuern an sie entstanden ist. Sie haftet für den gesamten Abgabebetrag, selbst wenn sie selber aus der Widerhandlung keinen persönlichen Nutzen gezogen hätte (E. 3.1 hievor). Überdies ist sie als nach dem massgebenden Abgabeerlass Zahlungspflichtige durch die widerrechtliche Nichterhebung bzw. Rückerstattung der Abgabe auch dann wirtschaftlich bevorteilt, wenn sie die Empfänger des Steuervorteils auf dem Wege des zivilrechtlichen Rückgriffs belangen kann (vgl. BGE 110 Ib 311), was hier zweifellos zutrifft, falls sie den Vorteil - wie sie behauptet - tatsächlich an die Tankstellenbetreiber weiter reichte. Aus den selben Gründen ist das Argument der Beschwerdeführerin nicht zu hören, unrechtmässig bevorteilt sei diejenige Person, welche die Diplomatenkarte missbräuchlich verwendet habe.</w:t>
      </w:r>
    </w:p>
    <w:p>
      <w:r>
        <w:rPr>
          <w:b/>
        </w:rPr>
        <w:t>E. 4.2</w:t>
      </w:r>
    </w:p>
    <w:p>
      <w:r>
        <w:t>Die Beschwerdeführerin geht ferner fehl in der Annahme, es spiele für ihre Leistungspflicht keinerlei Rolle, dass sie für die Widerhandlungen kein Verschulden trifft und dass diese im "Einflussbereich der Botschaft" liegen, wie sie behauptet. Vielmehr genügt nach konstanter Rechtsprechung, dass der durch die Nichtleistung der Abgabe entstandene Grund in einer objektiven Widerhandlung gegen die Verwaltungsgesetzgebung des Bundes liegt. Ausser Zweifel steht und wird von der Beschwerdeführerin auch nicht in Abrede gestellt, dass die unrechtmässige Erwirkung der Steuerbefreiung von Treibstoffbezügen objektive Straftatbestände gemäss Art. 38 ff. MinöStG verwirklichte. Es bedarf weder eines Verschuldens der Beschwerdeführerin noch muss ein Strafverfahren gegen sie eingeleitet worden sein (E. 3.4 hievor). Sie haftet selbst dann, wenn sie - wie vorliegend anzunehmen ist - von den missbräuchlichen Verwendungen der Treibstoffkarten nicht einmal wusste (vgl. zur Publikation vorgesehener BGE 2A.242/2006 vom 2. Februar 2007 E. 2.1).</w:t>
      </w:r>
    </w:p>
    <w:p>
      <w:r>
        <w:rPr>
          <w:b/>
        </w:rPr>
        <w:t>E. 4.3</w:t>
      </w:r>
    </w:p>
    <w:p>
      <w:r>
        <w:t>Was die Beschwerdeführerin ferner vorbringt, vermag nicht durchzudringen. Sie trägt vor, die Tankstellenbetreiber seien von ihr unabhängig und würden mit der Zollverwaltung direkt Vereinbarungen abschliessen, die sie zur steuerbefreiten Abgabe von Treibstoff berechtigten. Die Beschwerdeführerin selbst könne deswegen nicht ins Recht gefasst werden. Aus den Akten geht zweifelsfrei hervor, dass das Verhalten der fraglichen Tankstellenbetreiber und deren Personals fehlerhaft war und den missbräuchlichen Verwendungen der Treibstoffkarten geradezu Vorschub leistete. Die OZD hat denn auch die Tankstellenbetreiber mit ins Recht gefasst und für den sie betreffenden Teil der Abgabe als solidarisch leistungspflichtig erklärt. Die Leistungspflicht der Tankstellenbetreiber bildet indes nicht Gegenstand des vorliegenden Verfahrens. Der Beschwerdeführerin ist zunächst entgegenzuhalten, dass sie sich ausdrücklich gegenüber der OZD verpflichtete, u.a. dafür zu sorgen, dass "abgabefreier Treibstoff nur an bedienten Tankstellen und nur von Personal abgegeben wird, dem die einschlägigen Weisungen der OZD bekannt sind", "abgabefreier Treibstoff nur an Person abgegeben wird, die eine CD-CC-Petrol Card (P-Card) vorweisen" und dass auch entsprechende Verpflichtungserklärungen der einzelnen Tankstellen-betreiber Bestandteil dieser Vereinbarung bilden. Nach unwidersprochener Darstellung der Vorinstanz wurde diese Vereinbarung am 17. Mai 1989 erneuert und war für die massgebliche Zeitspanne in Kraft. Insofern ist die Nachleistungspflicht der Beschwerdeführerin auch unter diesem Gesichtspunkt gerechtfertigt und es kann jedenfalls nicht gesagt werden, einzig die Tankstellenbetreiber hätten sich gegenüber der Verwaltung verpflichtet, für eine vorschriftsgemässe Verwendung der Treibstoffkarten für Diplomaten einzustehen. Überdies hat A._______, Verantwortliche der Tankstelle C._______, nach eigenen Angaben keine entsprechende Verpflichtungserklärung gegenüber der Zollverwaltung abgegeben (Einvernahmeprotokoll A._______ vom 29. April 2002, S. 4). M._______ hat mit Bezug auf die massgebliche Zeitspanne zwar für die Tankstellen S._______ "V._______" und "E._______" eine solche Verpflichtung erklärt, nicht aber für die hier fragliche Tankstelle "P._______", für die er verantwortlich zeichnet (Einvernahmeprotokoll M._______ vom 29. April 2002, S. 2). Selbst wenn solche Verpflichtungserklärungen der Tankstellenbetreiber vorlägen, könnte die Beschwerdeführerin im vorliegenden Fall sich ihrer Leistungspflicht aber ohnehin nicht entledigen. Massgebend bliebe vielmehr, dass sie bereits aufgrund ihrer subjektiven Steuerpflicht mit den fehlbaren Tankstellenbetreibern für die gesamte zu Unrecht rückerstattete Abgabe solidarisch haftbar zu machen ist (E. 4.1 hievor).</w:t>
      </w:r>
    </w:p>
    <w:p>
      <w:r>
        <w:rPr>
          <w:b/>
        </w:rPr>
        <w:t>E. 5</w:t>
      </w:r>
    </w:p>
    <w:p>
      <w:r>
        <w:t>Nach dem Gesagten ist die Beschwerde abzuweisen und der Beschwerdeentscheid der OZD vom 9. Dezember 2004 zu bestätigen. Die Verfahrenskosten in Höhe von Fr. 2'000.-- werden der Beschwerdeführerin auferlegt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