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A-1683/2021 vom 11. Oktober 2021</w:t>
      </w:r>
    </w:p>
    <w:p>
      <w:r>
        <w:t>Bundesverwaltungsgericht, 2021-10-11, FR</w:t>
      </w:r>
    </w:p>
    <w:p>
      <w:r>
        <w:rPr>
          <w:b/>
        </w:rPr>
        <w:t xml:space="preserve">Quelle: </w:t>
      </w:r>
      <w:r>
        <w:t>https://mcp.opencaselaw.ch/entscheid/bvger_A-1683_2021</w:t>
      </w:r>
    </w:p>
    <w:p>
      <w:r>
        <w:t>FR: TAF A-1683/2021 du 11 octobre 2021</w:t>
      </w:r>
    </w:p>
    <w:p>
      <w:r>
        <w:t>IT: TAF A-1683/2021 del 11 ottobre 2021</w:t>
      </w:r>
    </w:p>
    <w:p>
      <w:pPr>
        <w:pStyle w:val="Heading2"/>
      </w:pPr>
      <w:r>
        <w:t>Regeste</w:t>
      </w:r>
    </w:p>
    <w:p>
      <w:r>
        <w:t>Emoluments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 qui est une unité de l'administration fédérale centrale (cf. art. 33 let. d LTAF, annexe I/B/VII ch. 1.6 de l'ordonnance du 25 novembre 1998 sur l'organisation du gouvernement et de l'administration [OLOGA, RS 172.010.1], par renvoi de son art. 8 al. 1 let. a) - en date du 8 avril 2021, satisfait aux conditions prévalant à la reconnaissance d'une décision au sens de l'art. 5 PA, de sorte que le Tribunal est compétent pour connaître de la contestation portée devant lui.</w:t>
      </w:r>
    </w:p>
    <w:p>
      <w:r>
        <w:rPr>
          <w:b/>
        </w:rPr>
        <w:t>E. 1.3</w:t>
      </w:r>
    </w:p>
    <w:p>
      <w:r>
        <w:t>Conformément à l'art. 48 al. 1 PA, le recourant possède la qualité pour recourir en tant que destinataire de la décision attaquée qui lui fait grief.</w:t>
      </w:r>
    </w:p>
    <w:p>
      <w:r>
        <w:rPr>
          <w:b/>
        </w:rPr>
        <w:t>E. 1.4</w:t>
      </w:r>
    </w:p>
    <w:p>
      <w:r>
        <w:t>Déposé dans le délai (cf. art. 50 al. 1 PA) et les formes (cf.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2012/23 du 15 juin 2011 consid. 4).</w:t>
      </w:r>
    </w:p>
    <w:p>
      <w:r>
        <w:rPr>
          <w:b/>
        </w:rPr>
        <w:t>E. 3.1</w:t>
      </w:r>
    </w:p>
    <w:p>
      <w:r>
        <w:t>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3.2</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w:t>
      </w:r>
    </w:p>
    <w:p>
      <w:r>
        <w:rPr>
          <w:b/>
        </w:rPr>
        <w:t>E. 4.1</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dernier accès : www.bakom.admin.ch le 23 septembre 2021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4.2.1</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w:t>
      </w:r>
    </w:p>
    <w:p>
      <w:r>
        <w:rPr>
          <w:b/>
        </w:rPr>
        <w:t>E. 4.2.2</w:t>
      </w:r>
    </w:p>
    <w:p>
      <w:r>
        <w:t>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 RS 784.401) » (FF 2013 4425, spéc. 4426). La limite prévue de 500 000 francs correspond à la limite de l'obligation de rendre compte selon le nouveau droit comptable (cf. art. 957 al. 1 ch. 1 du Code des obligations suisse du 30 mars 1911 [CO, RS 220]).</w:t>
      </w:r>
    </w:p>
    <w:p>
      <w:r>
        <w:rPr>
          <w:b/>
        </w:rPr>
        <w:t>E. 4.3</w:t>
      </w:r>
    </w:p>
    <w:p>
      <w:r>
        <w:t>Le peuple suisse a approuvé la révision de la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 Les faits litigieux en l'espèce concernent la perception de la taxe professionnelle radio et télévision pour l'année 2019. Cela signifie que la LRTV et l'ordonnance du 9 mars 2007 sur la radio et la télévision (ORTV ; RS 784.401), dans leur version respective valable en 2019, sont applicables. Dans ces conditions, les modifications de l'ORTV (nORTV) qui sont entrées en vigueur le 1er janvier 2021 ne sont pas applicables au présent litige.</w:t>
      </w:r>
    </w:p>
    <w:p>
      <w:r>
        <w:rPr>
          <w:b/>
        </w:rPr>
        <w:t>E. 4.4</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4.5</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4.6</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 CA) à: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4.6.1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 Pour la première période de perception de la redevance des entreprises, il peut fixer une période de référence différente de celle prévue à l'art. 70 al. 1 LRTV (art. 109b al. 5 LRTV). Le Conseil fédéral a fait usage de cette possibilité en adoptant l'art 93 ORTV. Celui-ci prévoit en son alinéa 1 que si le changement de système survient au cours du premier semestre d'une année civile, le classement dans les catégories tarifaires s'effectue sur la base du chiffre d'affaires global de la période de TVA bouclée deux ans auparavant. Selon le Message du Conseil fédéral (FF 2013 4425, spéc. 4462), « Afin d'éviter une baisse des recettes durant la première année suivant l'introduction du nouveau système ainsi que des problèmes de liquidités pour les bénéficiaires de la redevance (SSR, diffuseurs locaux et régionaux au bénéfice d'une quote-part, etc.), les premières factures doivent pouvoir être envoyées aux assujettis au début de la période de perception. Par conséquent, il convient de fixer la base de calcul pour la première perception de la redevance plus tôt qu'elle ne le sera par la suite. »</w:t>
      </w:r>
    </w:p>
    <w:p>
      <w:r>
        <w:rPr>
          <w:b/>
        </w:rPr>
        <w:t>E. 4.6.2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l'assujettissement du recourant à la redevance des entreprises pour l'année 2019 et dans l'affirmative, si le montant de celle-ci a été calculé de manière conforme à la loi.</w:t>
      </w:r>
    </w:p>
    <w:p>
      <w:r>
        <w:rPr>
          <w:b/>
        </w:rPr>
        <w:t>E. 5.1</w:t>
      </w:r>
    </w:p>
    <w:p>
      <w:r>
        <w:t>En premier lieu, le dossier révèle que le recourant a exploité une entreprise individuelle assujettie à la TVA au cours de la période fiscale 2019 et répond ainsi à la définition d'entreprise de l'art 70 al. 2 LRTV selon lequel une « entreprise » est une personne inscrite auprès de l'AFC dans le registre des personnes assujetties à la TVA (cf. consid. 4.5 ci-avant). En outre, il découle de l'art. 70 al. 1 LRTV qu'une telle entreprise est soumise à la redevance si elle a réalisé le chiffre d'affaires minimal fixé par le Conseil fédéral au cours de la période fiscale achevée l'année civile précédente. L'année 2019 étant la première période de perception de la nouvelle redevance radio-TV des entreprises, il sied ici d'appliquer les articles 109b al. 1 LRTV et 93 al. 1 ORTV qui disposent que lors de l'introduction de cette redevance, soit en 2019, la base de calcul est le chiffre d'affaire global déclaré deux ans auparavant, soit en 2017 (cf. consid. 4.6.1 ci-avant). Ainsi, pour déterminer si le recourant est assujetti à la redevance radio et télévision pour les entreprises pour la période fiscale 2019, est uniquement déterminant le fait que ce dernier ait été assujetti à la TVA et ait réalisé un chiffre d'affaires supérieur à 500'000 CHF durant la période fiscale s'étendant du 1er janvier au 31 décembre 2017 (cf. consid. 4.5. et 4.6 ci-avant). Or, tel est bien le cas ici. Enfin et cela n'est pas contesté d'ailleurs, le recourant était assujetti à la TVA du 1er janvier au 31 décembre 2017 et il a déclaré pour cette période un chiffre d'affaire total de CHF 2'077'609.10. Ainsi, en raison du fait que le recourant était à nouveau assujetti à la TVA en 2019 et qu'il a réalisé un chiffre d'affaire supérieur à CHF 500'000 en 2017, c'est à raison que l'autorité inférieure lui a facturé la redevance radio-TV pour les entreprises 2019.</w:t>
      </w:r>
    </w:p>
    <w:p>
      <w:r>
        <w:rPr>
          <w:b/>
        </w:rPr>
        <w:t>E. 5.2</w:t>
      </w:r>
    </w:p>
    <w:p>
      <w:r>
        <w:t>Cela étant, il résulte des explications du recourant qu'il conteste également que le chiffre d'affaires qu'il a certes réalisé en 2017 soit pris comme base pour la taxation de la redevance en 2019, dès lors qu'il a cessé l'activité qu'il exerçait en 2017. Comme relevé ci-dessus, l'exploitant est ici bien le recourant pour les deux activités exercées et c'est bien également le recourant qui a réalisé, successivement, le chiffre d'affaires qui lui est imputé en 2017 et en 2019. Or, dans ce cadre, il importe peu que ce dernier ait eu deux activités commerciales successives. En d'autre termes, si certes le recourant a exploité les deux entreprises individuelles de manière distincte et successive entre 2017 et 2019, la lecture des extraits du registre du commerce relatifs à ces deux exploitations démontre qu'elles ont le même titulaire, soit le recourant. Ainsi, tant pour l'une que pour l'autre, le seul sujet fiscal inscrit au registre des assujettis TVA est A._______. Le type d'activité exercé et le nom de la raison de commerce exploités n'entrent pas en ligne de compte ici. Comme pour la taxe sur la valeur ajoutée, pour laquelle le Tribunal fédéral a eu l'occasion de préciser que le sujet fiscal est la personne physique qui exploite la ou les entreprises (arrêt du TF 2C_123/2010 du 5 mai 2010 consid. 3.2), celui de la redevance des entreprises est bien la personne physique en cas d'assujetti en entreprise individuelle comme en l'occurrence. Il découle également du choix du recourant de la forme civile et commerciale de ses exploitations successives, à savoir à chaque fois une entreprise individuelle, que lors de la cession de sa première activité en 2018 à une société de capitaux et la reprise d'une autre exploitation en 2019, le chiffre d'affaires réalisé antérieurement pouvait être utilisé pour fixer le montant de la redevance en 2019. Ce système, prévu par les articles 109b al. 1 LRTV et 93 al. 1 ORTV, n'est ainsi pas critiquable.</w:t>
      </w:r>
    </w:p>
    <w:p>
      <w:r>
        <w:rPr>
          <w:b/>
        </w:rPr>
        <w:t>E. 5.3</w:t>
      </w:r>
    </w:p>
    <w:p>
      <w:r>
        <w:t>Il résulte à tout le moins implicitement du recours que la redevance ne devrait pas être perçue en l'espèce en se fondant sur le chiffre d'affaires 2017 car le système présenterait en substance une lacune dès lors que l'activité serait différente entre 2017 et 2019. En droit interne, on parle de silence qualifié (par opposition à la lacune) lorsque, bien qu'ayant identifié un problème déterminé, le législateur a délibérément renoncé à le résoudre et à codifier une situation qui n'appelait pas nécessairement une intervention de sa part. La validité de l'argument suppose la preuve de l'intention (négative) du législateur, qui pourra généralement être apportée par les travaux préparatoires. En revanche, lorsque le législateur s'est abstenu de régler un point qu'il aurait dû régler et qu'aucune solution ne se dégage du texte ou de l'interprétation de la loi, on est alors en présence d'une lacune authentique (ou proprement dite), qu'il appartient au juge de combler, en s'inspirant au besoin des solutions consacrées par la doctrine et la jurisprudence (cf. art. 1 al. 2 et 3 CC). Quant à la lacune improprement dite, elle se caractérise par le fait que la loi offre certes une réponse, mais que celle-ci est insatisfaisante. D'après la jurisprudence, seule l'existence d'une lacune proprement dite appelle l'intervention du juge (cf. ATF 140 V 485 consid. 4.1, 140 III 251 consid. 4.2 et 139 I 157 consid. 5.2 ; arrêts du TAF A-5183/2014 précité consid. 2.2 et A-1438/2014 précité consid. 2.2). Or, il n'en est rien en l'espèce. Le législateur a prévu explicitement (cf. consid. 4.6.1 ci-avant) un système d'introduction de la redevance pour la première année de perception en 2019, qui est volontairement différent de celui prévu lors du début d'assujettissement d'une entreprise. Ce système prévu à l'art. 109b al. 5 LRTV, n'est ainsi pas critiquable. Le fait que le recourant ait été réimmatriculé au registre des assujettis depuis le 19 décembre 2019 uniquement et pas sur une année complète n'y change rien. La loi, qui lie le Tribunal de céans (cf. consid. 3.1 ci-avant), prévoit qu'est assujetti toute entité enregistrée auprès de l'AFC dans le registre des personnes assujetties à la taxe sur la valeur ajoutée (TVA) et ayant son siège, son domicile ou un établissement stable sur le territoire suisse, pour autant qu'elle ait réalisé le chiffre d'affaires minimum prévu dans la période de calcul. Or, tel est précisément le cas en l'espèce.</w:t>
      </w:r>
    </w:p>
    <w:p>
      <w:r>
        <w:rPr>
          <w:b/>
        </w:rPr>
        <w:t>E. 5.4</w:t>
      </w:r>
    </w:p>
    <w:p>
      <w:r>
        <w:t>Enfin, il n'importe pas, au regard de la redevance des entreprises, que le recourant ait, entre 2017 et 2019, modifié sa raison de commerce. Contrairement à ce qu'il prétend, c'est lui-même en tant que sujet fiscal et non sa raison de commerce qui est redevable de dite redevance. Autrement dit, le fait que le recourant ait exploité le « B._______ » jusqu'au 1er juillet 2018 et que cette exploitation ait été reprise courant 2018 par la société C._______ Sàrl n'importe guère. Il en va de même du fait que le recourant exploite une nouvelle entreprise individuelle, à savoir l'enseigne D.______ depuis décembre 2019. Ainsi, il se justifie de facturer la redevance radio-TV des entreprises pour la période 2019 sur la base du chiffre d'affaires réalisé en 2017.</w:t>
      </w:r>
    </w:p>
    <w:p>
      <w:r>
        <w:rPr>
          <w:b/>
        </w:rPr>
        <w:t>E. 6</w:t>
      </w:r>
    </w:p>
    <w:p>
      <w:r>
        <w:t>Il découle des considérants qui précèdent que tant l'assujettissement en 2019, la base de calcul correspondant à la période 2017 que le montant de la redevance ont correctement été établis par l'autorité inférieure dans la décision entreprise. Celle-ci doit donc être confirmée et le recours rejeté. Vu l'issue de la cause, les frais de procédure, par CHF 200.--,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