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A-1652/2021 vom 22. Juni 2022</w:t>
      </w:r>
    </w:p>
    <w:p>
      <w:r>
        <w:t>Bundesverwaltungsgericht, 2022-06-22, FR</w:t>
      </w:r>
    </w:p>
    <w:p>
      <w:r>
        <w:rPr>
          <w:b/>
        </w:rPr>
        <w:t xml:space="preserve">Quelle: </w:t>
      </w:r>
      <w:r>
        <w:t>https://mcp.opencaselaw.ch/entscheid/bvger_A-1652_2021</w:t>
      </w:r>
    </w:p>
    <w:p>
      <w:r>
        <w:t>FR: TAF A-1652/2021 du 22 juin 2022</w:t>
      </w:r>
    </w:p>
    <w:p>
      <w:r>
        <w:t>IT: TAF A-1652/2021 del 22 giugno 2022</w:t>
      </w:r>
    </w:p>
    <w:p>
      <w:pPr>
        <w:pStyle w:val="Heading2"/>
      </w:pPr>
      <w:r>
        <w:t>Regeste</w:t>
      </w:r>
    </w:p>
    <w:p>
      <w:r>
        <w:t>Assistance administrative</w:t>
      </w:r>
    </w:p>
    <w:p>
      <w:pPr>
        <w:pStyle w:val="Heading2"/>
      </w:pPr>
      <w:r>
        <w:t>Erwägungen</w:t>
      </w:r>
    </w:p>
    <w:p>
      <w:r>
        <w:rPr>
          <w:b/>
        </w:rPr>
        <w:t>E. 5.1</w:t>
      </w:r>
    </w:p>
    <w:p>
      <w:r>
        <w:t>Pour ce qui est des conditions de fond, la recourante allègue une violation du principe de la pertinence vraisemblable à plusieurs égards.</w:t>
      </w:r>
    </w:p>
    <w:p>
      <w:r>
        <w:rPr>
          <w:b/>
        </w:rPr>
        <w:t>E. 5.1.1.1</w:t>
      </w:r>
    </w:p>
    <w:p>
      <w:r>
        <w:t>La recourante argue en premier lieu que l'AFC ne pouvait pas se fonder uniquement sur les données statistiques invoquées par la DGFiP à l'appui de sa demande en lien avec les listes de comptes pour établir avec certitude que les comptes sont détenus par des contribuables français en situation d'irrégularité fiscale. Elle aurait au contraire dû procéder à un examen individuel et concret du principe de la pertinence vraisemblable des informations et ne pouvait pas se satisfaire d'une appréciation générale et abstraite fondée exclusivement sur l'ATF 146 II 150.</w:t>
      </w:r>
    </w:p>
    <w:p>
      <w:r>
        <w:rPr>
          <w:b/>
        </w:rPr>
        <w:t>E. 5.1.1.2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violerait le principe de la pertinence vraisemblable. Au vu de tout ce qui précède, le grief invoqué par la recourante doit être rejeté.</w:t>
      </w:r>
    </w:p>
    <w:p>
      <w:r>
        <w:rPr>
          <w:b/>
        </w:rPr>
        <w:t>E. 5.1.2.1</w:t>
      </w:r>
    </w:p>
    <w:p>
      <w:r>
        <w:t>Dans sa réplique du 6 août 2021 et ses observations spontanées du 25 mars 2022, la recourante soutient que la prescription décennale française serait acquise en ce qui concerne le contrôle et le recouvrement de l'impôt pour les années fiscales 2010 et 2011, ce qui impliquerait que la demande d'assistance administrative y relative serait devenue sans objet. A l'appui de son grief, la recourante produit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La recourante invoque l'arrêt du Tribunal fédéral 2C_703/2019 du 16 novembre 2020, selon lequel l'AFC se devrait d'éclaircir cette question.</w:t>
      </w:r>
    </w:p>
    <w:p>
      <w:r>
        <w:rPr>
          <w:b/>
        </w:rPr>
        <w:t>E. 5.1.2.2</w:t>
      </w:r>
    </w:p>
    <w:p>
      <w:r>
        <w:t>Avant tout il sied de relever qu'en tant qu'expertise privée, l'avis de droit produit par la recourante est constitutif d'une simple allégation de partie, dans la mesure où l'expert privé ne peut pas être considéré comme indépendant et impartial, en raison notamment de sa relation contractuelle avec l'intéressée,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la recourante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arrêts du TF 2C_662/2021, 2C_663/2021 du 18 mars 2022 consid. 5.4 à 5.6).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voir aussi arrêts du TAF A-4669/2016 du 8 décembre 2017 consid. 2.7, A-4025/2016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à la recourante de faire valoir ses moyens procéduraux devant les autorités compétentes de l'Etat requérant.</w:t>
      </w:r>
    </w:p>
    <w:p>
      <w:r>
        <w:rPr>
          <w:b/>
        </w:rPr>
        <w:t>E. 5.1.2.3</w:t>
      </w:r>
    </w:p>
    <w:p>
      <w:r>
        <w:t>Par ailleurs, l'arrêt du TF 2C_703/2019 du 16 novembre 2020 invoqué par la recourante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la recourante n'a jamais affirmé que le délai pour le dépôt de la déclaration d'impôts aurait été encore ouvert. La solution de cet arrêt n'est donc pas transposable au cas d'espèce.</w:t>
      </w:r>
    </w:p>
    <w:p>
      <w:r>
        <w:rPr>
          <w:b/>
        </w:rPr>
        <w:t>E. 5.1.2.4</w:t>
      </w:r>
    </w:p>
    <w:p>
      <w:r>
        <w:t>Au vu de ces éléments, le Tribunal ne constate pas de violation de la norme de la pertinence vraisemblable en lien avec la prescription décennale française. Le grief de la recourante à cet égard doit être rejeté.</w:t>
      </w:r>
    </w:p>
    <w:p>
      <w:r>
        <w:rPr>
          <w:b/>
        </w:rPr>
        <w:t>E. 5.2.1</w:t>
      </w:r>
    </w:p>
    <w:p>
      <w:r>
        <w:t>La recourante reproche encore à l'autorité inférieure d'accéder à une demande d'assistance basée sur des données obtenues par des actes punissables au regard du droit suisse, en violation du principe de la bonne foi en lien avec l'art. 7 let. c LAAF. A l'appui de son grief, la recourante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5.2.4</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5.3.1</w:t>
      </w:r>
    </w:p>
    <w:p>
      <w:r>
        <w:t>La recourante avance encore que le principe de spécialité ne serait pas respecté dans le cas d'espèce. A l'appui de son grief, elle relève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des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 ; entre autres arrêts du TAF A-1031/2021 du 26 octobre 2021 consid. 5.3.2 et A-5455/2020 du 16 mai 2022 consid. 5.3.2), et de constater - à tout le moins de manière implicite - que l'assurance fournie par la DGFiP est suffisante.</w:t>
      </w:r>
    </w:p>
    <w:p>
      <w:r>
        <w:rPr>
          <w:b/>
        </w:rPr>
        <w:t>E. 5.4.1</w:t>
      </w:r>
    </w:p>
    <w:p>
      <w:r>
        <w:t>La recourante se plaint encore de ne pas avoir obtenu une traduction des documents rédigés en langue allemande et anglaise. En substance, elle relève que la présence d'annexes dans ces deux langues serait une source d'incertitude sur le contenu des pièces en question et sur le sens exact à leur donner. Il en découlerait une atteinte aux principes d'exclusivité et d'unité de la procédure.</w:t>
      </w:r>
    </w:p>
    <w:p>
      <w:r>
        <w:rPr>
          <w:b/>
        </w:rPr>
        <w:t>E. 5.4.2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la recourante ou son mandataire ne maîtrisent pas ou de manière seulement imparfaite (arrêt du TAF C-697/2010 du 10 janvier 2011 consid. 3). 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la recourante est assistée d'un mandataire professionnel, qui plus est avocat, dont on peut attendre qu'il maîtrise de manière suffisante les langues allemande et anglaise. En effet, il convient de noter que l'avocat de la recourante, Me Patrick Blaser, signale sur le site web de son étude qu'il exerce tant en français qu'en anglais. Il est dès lors peu plausible de soutenir, comme ce dernier l'a fait, que sa cliente n'aurait pas été en mesure, pour des raisons linguistiques, d'appréhender la portée des documents au dossier parce qu'ils n'auraient pas été traduits en français. Certes, il s'agit ici de compétences linguistiques du mandataire de la recourante et pas des compétences propres de cette dernière. Toutefois, compte tenu de l'importance relative des pièces rédigées en allemand et en anglais pour le sort de la présente cause, l'autorité inférieure pouvait largement admettre que globalement la recourante disposait, grâce aussi aux compétences de son mandataire, des éléments nécessaires à sa complète détermination et que l'absence de traduction des pièces en question ne l'a pas empêchée de faire valoir ses droits sans entrave. Pour les raisons qui précèdent, le grief de la recourante en lien avec la traduction des annexes rédigés en anglais et en allemand doit être rejeté.</w:t>
      </w:r>
    </w:p>
    <w:p>
      <w:r>
        <w:rPr>
          <w:b/>
        </w:rPr>
        <w:t>E. 5.5</w:t>
      </w:r>
    </w:p>
    <w:p>
      <w:r>
        <w:t>La recourante se plaint encore d'une violation de l'art. 20 par. 2 de la Directive n° 2011/16/UE, lequel indique que l'Etat requérant doit demander des informations en utilisant les formulaires types et formats informatiques standards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la recourante n'est donc pas pertinente et il convient de rejeter le grief de cette dernière.</w:t>
      </w:r>
    </w:p>
    <w:p>
      <w:r>
        <w:rPr>
          <w:b/>
        </w:rPr>
        <w:t>E. 6</w:t>
      </w:r>
    </w:p>
    <w:p>
      <w:r>
        <w:t>La recourante sollicite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la conclusion de la recourante tendant à la suspension de la procédure jusqu'à droit connu quant à la procédure devant le Tribunal pénal fédéral (ci-avant, Faits, let. J) parait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