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A-1650/2019 vom 10. September 2021</w:t>
      </w:r>
    </w:p>
    <w:p>
      <w:r>
        <w:t>Bundesverwaltungsgericht, 2021-09-10, FR</w:t>
      </w:r>
    </w:p>
    <w:p>
      <w:r>
        <w:rPr>
          <w:b/>
        </w:rPr>
        <w:t xml:space="preserve">Quelle: </w:t>
      </w:r>
      <w:r>
        <w:t>https://mcp.opencaselaw.ch/entscheid/bvger_A-1650_2019</w:t>
      </w:r>
    </w:p>
    <w:p>
      <w:r>
        <w:t>FR: TAF A-1650/2019 du 10 septembre 2021</w:t>
      </w:r>
    </w:p>
    <w:p>
      <w:r>
        <w:t>IT: TAF A-1650/2019 del 10 settembre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 2016, les demandes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 recourant se plaint, en substance, d'une violation de l'art. 4 CDI CH-FR, dans la mesure où l'autorité requérante ne ferait valoir aucun des critères d'assujettissement prévus dans cette disposition afin de démontrer sa résidence fiscale en France ; d'une violation du principe de pertinence vraisemblable, dans la mesure où les informations requises ne permettraient pas d'établir la résidence fiscale du recourant en France et dès lors où le mode d'imposition du recourant en Suisse ne serait pas pertinent eu égard au but visé par les demandes ; et d'une violation de l'art. 4 al. 3 LAAF dans la mesure où les données de tiers non impliqués, figurant dans les informations que l'AFC prévoit de transmettre, n'ont pas été caviardées par l'autorité inférieure. Le Tribunal examinera d'abord et d'office la question du droit applicable ratione temporis aux demandes d'assistance administrative (consid. 3 infra) et la forme des requêtes (consid. 4 infra). Il passera ensuite à l'examen des griefs relatifs au domicile fiscal du recourant (consid. 5 infra) et à la violation du principe de la pertinence vraisemblable (consid. 6 infra). Finalement, le Tribunal se penchera sur l'examen du principe de spécialité (consid. 7 infra) et sur la violation allégée de l'art. 4 al. 3 LAAF (consid. 8 infra).</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 A-7496/2016 du 27 avril 2018 consid. 4.1).</w:t>
      </w:r>
    </w:p>
    <w:p>
      <w:r>
        <w:rPr>
          <w:b/>
        </w:rPr>
        <w:t>E. 3.2</w:t>
      </w:r>
    </w:p>
    <w:p>
      <w:r>
        <w:t>L'art. 28 CDI CH-FR, dans sa nouvelle teneur, est ainsi applicable aux demandes d'échange de renseignements concernant toute année civile ou tout exercice commençant à compter du 1er janvier 2010 (art. 11 par. 3 de l'Avenant ; arrêts du TAF A-6266/2017 du 24 août 2018 consid. 2.1.1 ;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arrêt du TAF A-6266/2017 du 24 août 2018 consid. 2.1.1).</w:t>
      </w:r>
    </w:p>
    <w:p>
      <w:r>
        <w:rPr>
          <w:b/>
        </w:rPr>
        <w:t>E. 3.3</w:t>
      </w:r>
    </w:p>
    <w:p>
      <w:r>
        <w:t>En l'espèce, dans la mesure où la présente affaire porte sur la période fiscale du (...) 2013 au (...) 2014, l'ensemble de ces dispositions sont applicables.</w:t>
      </w:r>
    </w:p>
    <w:p>
      <w:r>
        <w:rPr>
          <w:b/>
        </w:rPr>
        <w:t>E. 4.1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 En l'espèce, pour ce qui est de la forme des trois demandes, il faut considérer qu'elle est conforme aux exigences du ch. XI par. 3 du Protocole additionnel, dans la mesure où les requêtes mentionnent le nom de la personne concernée, les impôts concernés et la période visée, le but de la demande et qu'elles contiennent une description des renseignements demandés.</w:t>
      </w:r>
    </w:p>
    <w:p>
      <w:r>
        <w:rPr>
          <w:b/>
        </w:rPr>
        <w:t>E. 5.1</w:t>
      </w:r>
    </w:p>
    <w:p>
      <w:r>
        <w:t>Une demande d'assistance peut avoir pour but de clarifier la résidence fiscale d'une personne (cf. ATF 142 II 161 consid. 2.2.2). Le fait que cette personne soit assujettie à l'impôt de manière illimitée en Suisse ne fait pas obstacle d'emblée à une telle demande (cf. ATF 142 II 218 consid. 3.7).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 ; 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à ce contribuable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(cf. ATF 142 II 218 consid. 3.7 ; 145 II 112 consid. 2.2.2).</w:t>
      </w:r>
    </w:p>
    <w:p>
      <w:r>
        <w:rPr>
          <w:b/>
        </w:rPr>
        <w:t>E. 5.2</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142 II 161 consid. 2.2.2 ; 145 II 112 consid. 3.2 ; arrêt du TF 2C_371/2019 du 30 avril 2019 consid. 3.1).</w:t>
      </w:r>
    </w:p>
    <w:p>
      <w:r>
        <w:rPr>
          <w:b/>
        </w:rPr>
        <w:t>E. 5.3</w:t>
      </w:r>
    </w:p>
    <w:p>
      <w:r>
        <w:t>Aux termes de l'art. 4 par. 1 CDI CH-FR, l'expression « résident d'un Etat contractant »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(cf. Natassia Martinez, in: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 de l'Etat contractant où elle séjourne de façon habituelle. Si cette personne séjourne de façon habituelle dans chacun des Etats contractants ou si elle ne séjourne de façon habituelle dans aucun d'eux, elle est considérée comme résident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w:t>
      </w:r>
    </w:p>
    <w:p>
      <w:r>
        <w:rPr>
          <w:b/>
        </w:rPr>
        <w:t>E. 5.4</w:t>
      </w:r>
    </w:p>
    <w:p>
      <w:r>
        <w:t>En l'espèce, le recourant allègue que les demandes du (...) 2016 violeraient l'art. 4 par. 2 CDI CH-FR. En substance, il avance que la DGFiP n'aurait pas démontré à satisfaction qu'un critère d'assujettissement prévus dans la disposition légale susmentionnée serait rempli afin de démontrer sa résidence fiscale en France. Le recourant invoque avoir été domicilié en Suisse durant la période sous contrôle. À ce propos, il se plaint d'une description sommaire et contradictoire des faits des demandes litigieuses dès lors qu'elles ne mentionneraient aucun élément factuel susceptible de prouver sa résidence fiscale en France.</w:t>
      </w:r>
    </w:p>
    <w:p>
      <w:r>
        <w:rPr>
          <w:b/>
        </w:rPr>
        <w:t>E. 5.5</w:t>
      </w:r>
    </w:p>
    <w:p>
      <w:r>
        <w:t>Le Tribunal rappelle qu'en présence d'un conflit de résidence dans le cadre de l'examen d'une requête d'assistance administrative, la Suisse devrait en principe se contenter, en qualité d'Etat requis, de vérifier que le critère d'assujettissement invoqué par l'Etat requérant se trouve dans ceux prévus dans la norme conventionnelle applicable concernant la détermination du domicile, à savoir l'art. 4 CDI CH-FR.</w:t>
      </w:r>
    </w:p>
    <w:p>
      <w:r>
        <w:rPr>
          <w:b/>
        </w:rPr>
        <w:t>E. 5.6</w:t>
      </w:r>
    </w:p>
    <w:p>
      <w:r>
        <w:t>En occurrence, la Cour de céans considère que l'autorité requérante a fait valoir des critères d'assujettissement prévus par l'art. 4 CDI CH-FR, à savoir principalement celui du foyer d'habitation permanent. En effet, dans sa demande, l'autorité requérante mentionne que : « en application des dispositions combinées de la législation fiscale et des stipulations de la convention fiscale franco-suisse, A._______ doit être regardé comme résident fiscal en France ». En substance, la DGFiP mentionne que selon les éléments réunis par leur service, le recourant aurait résidé en France au cours des années 2013 et 2014 (à l'adresse (...)) - adresse où résidait son épouse depuis le (...) 2008. L'autorité fiscale française indique également que le recourant est le gérant de fait de plusieurs sociétés françaises et que l'examen des frais de déplacement comptabilisées dans ces sociétés révèle que les trajets effectués en avion et en train par le recourant ont principalement Paris comme point de départ et de retour. Dans ce contexte, le fait que l'épouse du recourant soit domiciliée à (...) (cf. recours p. 7) ou à Paris n'est pas déterminant, dès lors que sa présence en France n'est pas contestée. Il en va de même de savoir pourquoi le recourant s'est rendu à Paris. Sa fonction de délégué (...) pour (...) n'est en effet pas contradictoire avec un domicile éventuel en France. Les critères de rattachement invoqués par l'autorité requérante sont apparemment plausibles et la question de savoir s'ils entrent en concurrence avec un critère d'assujettissement en Suisse, pays dans lequel le recourant affirme avoir été domicilié durant la période sous investigation, n'a pas à être examinée par le Tribunal dans le cadre de la présente procédure.</w:t>
      </w:r>
    </w:p>
    <w:p>
      <w:r>
        <w:rPr>
          <w:b/>
        </w:rPr>
        <w:t>E. 5.7</w:t>
      </w:r>
    </w:p>
    <w:p>
      <w:r>
        <w:t>Il découle de ce qui précède que le grief relatif à la reconnaissance du domicile fiscal en Suisse est rejeté.</w:t>
      </w:r>
    </w:p>
    <w:p>
      <w:r>
        <w:rPr>
          <w:b/>
        </w:rPr>
        <w:t>E. 6.1</w:t>
      </w:r>
    </w:p>
    <w:p>
      <w:r>
        <w:t>Aux termes de l'art. 28 par. 1 CDI CH-FR,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6.4</w:t>
      </w:r>
    </w:p>
    <w:p>
      <w:r>
        <w:t>Le recourant conteste la pertinence vraisemblable des renseignements et documents que l'autorité inférieure a décidé de communiquer à la DGFiP à plusieurs égards.</w:t>
      </w:r>
    </w:p>
    <w:p>
      <w:r>
        <w:rPr>
          <w:b/>
        </w:rPr>
        <w:t>E. 6.4.1.1</w:t>
      </w:r>
    </w:p>
    <w:p>
      <w:r>
        <w:t>En l'espèce et quant au premier point, le recourant allègue que la requête de l'autorité fiscale française vise à établir son domicile fiscal. Or, des pièces bancaires ne seraient pas de nature à permettre la démonstration d'un foyer d'habitation permanent, et, par conséquent, ne rempliraient pas la condition de la pertinence vraisemblable.</w:t>
      </w:r>
    </w:p>
    <w:p>
      <w:r>
        <w:rPr>
          <w:b/>
        </w:rPr>
        <w:t>E. 6.4.1.2</w:t>
      </w:r>
    </w:p>
    <w:p>
      <w:r>
        <w:t>Le Tribunal relève que le recourant interprète de manière erronée le but poursuivi par la présente procédure dans la mesure où la demande de l'autorité fiscale française vise non seulement à déterminer la situation fiscale du recourant en Suisse, mais aussi à établir les impôts dus par ce dernier en France. En effet, il ressort des indications fournies par la France - que la Suisse ne saurait en l'occurrence mettre en doute en vertu du principe de la bonne foi - que l'autorité requérante considère le recourant comme étant résident fiscale français. Partant, elle souhaite, d'une part, obtenir des informations relatives à la résidence fiscale du recourant, et, d'autre part, connaître le montant de ses avoirs et revenus non déclarés à l'administration fiscale française. Au vu de l'état de fait de la requête, le Tribunal de céans constate que les informations que l'autorité inférieure entend transmettre - portant sur les avoirs bancaires du recourant - satisfont à la condition de la vraisemblable pertinence dans la mesure où elles sont dans un rapport tangible avec l'état de fait décrit ainsi que le but visé par la requête.</w:t>
      </w:r>
    </w:p>
    <w:p>
      <w:r>
        <w:rPr>
          <w:b/>
        </w:rPr>
        <w:t>E. 6.4.2.1</w:t>
      </w:r>
    </w:p>
    <w:p>
      <w:r>
        <w:t>Ensuite, le recourant soutient que le mode d'imposition auquel il est soumis en Suisse - à savoir l'imposition d'après la dépense - ne revêtirait aucune pertinence pour l'examen de son imposition en France et n'a ainsi pas à être communiqué à l'autorité fiscale française. Le recourant indique pour le surplus qu'il est erroné de dire qu'il aurait été taxé sur une base forfaitaire.</w:t>
      </w:r>
    </w:p>
    <w:p>
      <w:r>
        <w:rPr>
          <w:b/>
        </w:rPr>
        <w:t>E. 6.4.2.2</w:t>
      </w:r>
    </w:p>
    <w:p>
      <w:r>
        <w:t>Le Tribunal constate que, faisant suite à l'ordonnance de production de l'AFC du 6 décembre 2017, l'Administration fiscale du canton de Genève - à laquelle on peut prêter la même bonne foi qu'à l'autorité fiscale française - a indiqué, par courrier du 21 décembre 2016, que : « Dans le cas d'espèce, les contribuables n'exercent aucune activité lucrative en Suisse et sont soumis au régime de l'imposition selon la dépense ». Ce renseignement a été corroboré par les avis de taxation des périodes fiscales 2013 et 2014 transmis à l'AFC par l'Administration fiscale du canton de Genève en date du 17 juillet 2017. Le Tribunal constate dès lors que l'information relative au mode d'imposition du recourant - que l'autorité inférieure prévoit de transmettre à la DGFiP - correspond à la réalité de la situation fiscale de ce dernier contrairement à ce que prétend le recourant.</w:t>
      </w:r>
    </w:p>
    <w:p>
      <w:r>
        <w:rPr>
          <w:b/>
        </w:rPr>
        <w:t>E. 6.4.2.3</w:t>
      </w:r>
    </w:p>
    <w:p>
      <w:r>
        <w:t>A teneur de l'art. 4 par. 6 let. b CDI CH-FR, n'est pas considérée comme résident d'un Etat contractant au sens du présent article, une personne physique qui n'est imposable dans cet Etat que sur une base forfaitaire déterminée d'après la valeur locative de la ou des résidences qu'elle possède sur le territoire de cet Etat. Dans une jurisprudence récente, le Tribunal fédéral a jugé que dès lors, si une demande d'assistance administrative française vise à établir la résidence fiscale de la personne visée, l'information relative au mode d'imposition de cette personne en Suisse constitue un renseignement vraisemblablement pertinent (ATF 145 II 112 consid. 2.2.3).</w:t>
      </w:r>
    </w:p>
    <w:p>
      <w:r>
        <w:rPr>
          <w:b/>
        </w:rPr>
        <w:t>E. 6.4.2.4</w:t>
      </w:r>
    </w:p>
    <w:p>
      <w:r>
        <w:t>En l'espèce, après avoir souligné qu'elle considérait le recourant comme résident fiscal français, l'autorité fiscale française a notamment demandé si celui-ci était connu de l'administration fiscale suisse, si il était considéré comme résident fiscal suisse au titre des années 2013 et 2014, s'il disposait d'un foyer permanent d'habitation à l'adresse suivante (...), au titre des années 2013 et 2014 et s'il a souscrit en Suisse des déclarations fiscales sur une base réelle d'imposition au titre des années 2013 et 2014 ou s'il a été imposé selon une base forfaitaire. Par ces questions, l'Etat requérant cherche à clarifier la résidence fiscale du recourant. Dans ce contexte, et au vu de la jurisprudence récente du Tribunal fédéral (ATF 145 II 112), le point de savoir si le recourant était imposé d'après la dépense en Suisse constitue un renseignement vraisemblablement pertinent.</w:t>
      </w:r>
    </w:p>
    <w:p>
      <w:r>
        <w:rPr>
          <w:b/>
        </w:rPr>
        <w:t>E. 6.5</w:t>
      </w:r>
    </w:p>
    <w:p>
      <w:r>
        <w:t>Au vu de ces éléments, le Tribunal ne constate pas de violation du principe de la pertinence vraisemblable par l'autorité fiscale française.</w:t>
      </w:r>
    </w:p>
    <w:p>
      <w:r>
        <w:rPr>
          <w:b/>
        </w:rPr>
        <w:t>E. 7.1</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7.2</w:t>
      </w:r>
    </w:p>
    <w:p>
      <w:r>
        <w:t>En l'espèce, selon le chiffre 3 du dispositif de la décision de l'AFC du 5 mars 2019 : « [L'AFC décide] d'informer les autorités compétentes françaises que les informations citées au chiffre 2 sont soumises dans l'Etat requérant aux restrictions d'utilisation et obligations de confidentialité prévues par la Convention (art. 28 par. 2 CDI CH-FR) ».</w:t>
      </w:r>
    </w:p>
    <w:p>
      <w:r>
        <w:rPr>
          <w:b/>
        </w:rPr>
        <w:t>E. 7.3</w:t>
      </w:r>
    </w:p>
    <w:p>
      <w:r>
        <w:t>Au vu de cette déclaration expresse et dans la mesure où le recourant n'a fourni aucun élément établi et concret susceptible de renverser la présomption de bonne foi de l'autorité requérante,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l'autorité inférieure précisera au chiffre 3 de son dispositif, que les informations transmises ne pourront être utilisées qu'à l'encontre du recourant dans le cadre d'une procédure conformément à l'art. 28 CDI CH-FR.</w:t>
      </w:r>
    </w:p>
    <w:p>
      <w:r>
        <w:rPr>
          <w:b/>
        </w:rPr>
        <w:t>E. 8.1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 A-4545/2016 du 8 février 2018 consid. 4.3.1 ; A-4025/2016 du 2 mai 2017 consid. 3.4). La transmission d'informations est ainsi en principe également possible à condition de répondre à l'exigence de la pertinence vraisemblable (cf. ATF 144 II 29 consid. 4.2.3; 142 II 161 consid. 4.6.1 ; pour des développements, cf. arrêt du TAF A-4819/2016 du 4 avril 2018 consid. 3).</w:t>
      </w:r>
    </w:p>
    <w:p>
      <w:r>
        <w:rPr>
          <w:b/>
        </w:rPr>
        <w:t>E. 8.2</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(cf. ATF 144 II 29 consid. 4.2.3 avec les références citées ; 146 I 172 consid. 7.1.3 ; arrêts du TF 2C_616/2018 du 9 juillet 2019 consid. 3.1 ; 2C_387/2016 du 5 mars 2018 consid. 5.1). Ce n'est que si les informations concernant les tiers ne sont pas vraisemblablement pertinentes qu'elles ne doivent pas être transmises.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(cf. art. 20 al. 2 LAAF; cf. ATF 146 I 172 consid. 7.1.3 ; 142 II 161 consid. 4.6.1).</w:t>
      </w:r>
    </w:p>
    <w:p>
      <w:r>
        <w:rPr>
          <w:b/>
        </w:rPr>
        <w:t>E. 8.3</w:t>
      </w:r>
    </w:p>
    <w:p>
      <w:r>
        <w:t>Selon l'art. 14 al. 2 LAAF, l'AFC ne doit informer une personne qui n'est pas visée par une demande d'assistance administrative que si la qualité pour recourir de cette personne au sens de l'art. 19 al. 2 LAAF ressort de manière évidente du dossier; le seul fait que le nom de cette personne apparaisse dans la documentation destinée à être transmise ne suffit pas à lui seul à justifier une telle information (cf. ATF 146 I 172 consid. 7.4).</w:t>
      </w:r>
    </w:p>
    <w:p>
      <w:r>
        <w:rPr>
          <w:b/>
        </w:rPr>
        <w:t>E. 8.4</w:t>
      </w:r>
    </w:p>
    <w:p>
      <w:r>
        <w:t>En l'espèce, le recourant soutient que, dans l'hypothèse où les renseignements litigieux seraient transmis, les données concernant les personnes qui ne sont pas concernées par la demande et qui figurent dans les documents que l'autorité inférieure prévoit de transmettre, devraient être préalablement caviardées.</w:t>
      </w:r>
    </w:p>
    <w:p>
      <w:r>
        <w:rPr>
          <w:b/>
        </w:rPr>
        <w:t>E. 8.5</w:t>
      </w:r>
    </w:p>
    <w:p>
      <w:r>
        <w:t>Selon la jurisprudence du Tribunal fédéral, encore récemment précisée (cf. ATF 147 II 116 consid. 6.2), l'art. 19 al. 2 LAAF prévoit qu'ont qualité pour recourir la personne concernée ainsi que les autres personnes qui remplissent les conditions prévues à l'art. 48 PA. La qualité pour recourir est partant exclue si le recourant fait valoir non pas un intérêt qui lui est propre, mais l'intérêt de tiers (cf. ATF 143 II 506 consid. 5.1; 132 II 162 consid. 2.1.2). Il s'ensuit que le recourant n'est pas légitimée à formuler des conclusions pour faire valoir des intérêts de tiers. Le grief correspondant est donc irrecevable.</w:t>
      </w:r>
    </w:p>
    <w:p>
      <w:r>
        <w:rPr>
          <w:b/>
        </w:rPr>
        <w:t>E. 8.6</w:t>
      </w:r>
    </w:p>
    <w:p>
      <w:r>
        <w:t>Il est au surplus souligné que le Tribunal fédéral a récemment jugé que l'AFC n'était pas tenue d'inclure dans la procédure les tiers dont le nom apparaît dans la documentation destinée à être transmise dans le cadre de l'exécution d'une demande d'assistance administrative internationale en matière fiscale, sauf si leur qualité de partie ressort de manière évidente du dossier, ce qui n'est en principe pas le cas (ATF 146 I 172 consid. 7 ; arrêts du TF 2C_687/2019 consid. 6 ; 2C_287/2019 consid. 4.1, tous du 13 juillet 2020). Ainsi, le seul fait que le nom de tiers apparait dans la documentation destinée à être transmise ne suffit pas à lui seul à justifier que ces derniers soient informés (cf. consid. 7.3 supra). Dans tous les cas, le tiers dont le nom apparaît est protégés par le principe de spécialité (cf. consid. 6 supra). Les informations ne peuvent être utilisées par l'Etat requérant que dans la procédure relative à la personne désignée comme concernée par la demande, pour les faits décrits dans celle-ci, et doivent en principe être tenues secrètes (cf. arrêts du TAF A-1315/2019 du 17 septembre 2019 consid. 3.3 ; A-5046/2018 du 22 mai 2019 consid. 4 et 5).</w:t>
      </w:r>
    </w:p>
    <w:p>
      <w:r>
        <w:rPr>
          <w:b/>
        </w:rPr>
        <w:t>E. 9</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10</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