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A-1641/2006 vom 22. September 2008</w:t>
      </w:r>
    </w:p>
    <w:p>
      <w:r>
        <w:t>Bundesverwaltungsgericht, 2008-09-22, DE</w:t>
      </w:r>
    </w:p>
    <w:p>
      <w:r>
        <w:rPr>
          <w:b/>
        </w:rPr>
        <w:t xml:space="preserve">Quelle: </w:t>
      </w:r>
      <w:r>
        <w:t>https://mcp.opencaselaw.ch/entscheid/bvger_A-1641_2006</w:t>
      </w:r>
    </w:p>
    <w:p>
      <w:r>
        <w:t>FR: TAF A-1641/2006 du 22 septembre 2008</w:t>
      </w:r>
    </w:p>
    <w:p>
      <w:r>
        <w:t>IT: TAF A-1641/2006 del 22 settembre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Der Mehrwertsteuer unterliegen u.a. die von steuerpflichtigen Personen im Inland gegen Entgelt erbrachten Lieferungen von Gegenständen und Dienstleistungen sowie der Eigenverbrauch (Art. 5 Bst. a bis c MWSTG).</w:t>
      </w:r>
    </w:p>
    <w:p>
      <w:r>
        <w:rPr>
          <w:b/>
        </w:rPr>
        <w:t>E. 2.2</w:t>
      </w:r>
    </w:p>
    <w:p>
      <w:r>
        <w:t>Die Eigenverbrauchsteuer ist bei Wegfall der Steuerpflicht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MWSTG). Das Ziel des Eigenverbrauchstatbestandes ist, unbesteuerten Endverbrauch zu verhindern, und zwar dort, wo der Steuerpflichtige steuerentlastete Leistungsbezüge und eigene Leistungen nicht der entgeltlichen Fremdversorgung, sondern der unentgeltlichen Selbstversorgung zuführt. Die Eigenverbrauchsteuer soll die durch den Vorsteuerabzug beim Steuerpflichtigen eintretende Steuerentlastung rückgängig machen (Urteil des Bundesverwaltungsgerichts A-572/2008 vom 23. Juli 2008 E. 2.1.2; Daniel Riedo, mwst.com, Kommentar zum Bundesgesetz über die Mehrwertsteuer, Basel/Genf/München 2000, ad Art. 9 Rz. 5 und 8).</w:t>
      </w:r>
    </w:p>
    <w:p>
      <w:r>
        <w:rPr>
          <w:b/>
        </w:rPr>
        <w:t>E. 2.3</w:t>
      </w:r>
    </w:p>
    <w:p>
      <w:r>
        <w:t>Die Eigenverbrauchsteuer infolge Wegfalls der Steuerpflicht stellt einen Spezialtatbestand der Entnahme für unternehmensfremde Zwecke dar. Es genügt nach Art. 9 Abs.1 Bst. d MWSTG, dass sich die Gegenstände bei Wegfall der Steuerpflicht noch in der Verfügungsmacht des Unternehmers befinden (vgl. Ivo Gut, mwst.com, a.a.O., ad Art. 9 Abs. 1 Rz. 16), ohne dass sie auch tatsächlich für unternehmensfremde Zwecke verwendet werden. Ebenso wenig setzt das Gesetz für eine Besteuerung voraus, dass der Steuerpflichtige seinerzeit die auf dem Bezug der Gegenstände lastende Steuer tatsächlich als Vorsteuer geltend machte. Ausreichend ist, dass er hierzu berechtigt war (s. Bericht vom 28. August 1996 der Kommission für Wirtschaft und Abgaben des Nationalrats [WAK-N] zur parlamentarischen Initiative [Parlamentarische Initiative Dettling, 93.461] über den Erlass eines Bundesgesetzes über die Mehrwertsteuer, ad Art. 9 Abs. 1). Als Gegenstände kommen bei diesem Eigenverbrauchstatbestand typischerweise jene in Frage, die im Warenlager verbleiben, oder die noch vorhandenen Anlagegüter bzw. Betriebsmittel inklusive der Betriebsliegenschaft (Entscheid der SRK vom 25. Oktober 2004, veröffentlicht in VPB 69.37 E. 4c aa; Alois Camenzind/Niklaus Honauer/Klaus A. Vallender, Handbuch zum Mehrwertsteuergesetz [MWSTG], Bern 2003, 2. Aufl., Rz. 394).</w:t>
      </w:r>
    </w:p>
    <w:p>
      <w:r>
        <w:rPr>
          <w:b/>
        </w:rPr>
        <w:t>E. 2.4</w:t>
      </w:r>
    </w:p>
    <w:p>
      <w:r>
        <w:t>Bemessungsgrundlage beim Eigenverbrauch infolge Wegfalls der Steuerpflicht bilden bei neuen beweglichen Gegenständen der Einkaufspreis, bei in Gebrauch genommenen beweglichen Gegenständen der Zeitwert im Zeitpunkt der Entnahme (Art. 34 Abs. 1 Bst. a und b MWSTG; zum Ganzen: Urteile des Bundesverwaltungsgerichts A-572/2008 vom 23. Juli 2008 E. 2.1.2 und 2.1.3, A-1556/2006 vom 8. Oktober 2007 E. 2.2 und 2.3). Neu ist ein Gegenstand, wenn er im Betrieb des Steuerpflichtigen nachweislich (noch) nicht für einen steuerbaren oder der Steuer nicht unterliegenden Geschäftszweck verwendet wurde. Abgestellt wird nur auf die Verhältnisse beim Steuerpflichtigen. Dass der Steuerpflichtige einen gebrauchten Gegenstand erworben hat, der durch den früheren Eigentümer in Gebrauch genommen wurde, ist ohne Bedeutung (Camenzind/Honauer/ Vallender, a.a.O., Rz. 1238).</w:t>
      </w:r>
    </w:p>
    <w:p>
      <w:r>
        <w:rPr>
          <w:b/>
        </w:rPr>
        <w:t>E. 3.1</w:t>
      </w:r>
    </w:p>
    <w:p>
      <w:r>
        <w:t>Die Veranlagung und Entrichtung der Mehrwertsteuer erfolgt nach dem Selbstveranlagungsprinzip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Mehrwertsteuerbetrags nur dann an Stelle des Steuerpflichtigen, wenn dieser seinen Pflichten nicht nachkommt (statt vieler: Urteile des Bundesverwaltungsgerichts A-8637/2007 vom 9. Juli 2008 E. 2.1.1, A-1550/2006 vom 16. Mai 2008 E. 2.1, A-1527/2006 vom 6. März 2008 E. 2.1; Camenzind/Honauer/ Vallender, a.a.O., Rz. 1680 ff.). Aufgrund des Selbstveranlagungsprinzips ist der Steuerpflichtige grundsätzlich an seine Erklärungen gegenüber der Steuerverwaltung gebunden (Urteil des Bundesgerichts 2A.304/2003 vom 14. November 2003 E. 3.5; Urteile des Bundesverwaltungsgerichts A-3822/2007 vom 3. Juni 2008 E. 3.1.1, A-1413/2006 vom 16. November 2007 E. 2.2.2, A-1393/2006 vom 10. Dezember 2007 E. 3.3.4 in fine). Der Mehrwertsteuerpflichtige ist allein für die korrekte (vollständige und rechtzeitige) Deklaration und Ablieferung der Mehrwertsteuer verantwortlich. Demnach hat er auch selber darüber zu befinden, ob er den von ihm geschuldeten Mehrwertsteuerbetrag vorbehaltlos, das heisst aufgrund der geltenden Praxis abliefern will, oder ob er, wenn er sich mit dem einen oder anderen Punkt nicht einverstanden erklärt, dies nur unter Vorbehalt tun will. Der Mehrwertsteuerpflichtige ist daher auch an seine Abrechnung gebunden, wenn er in Bezug auf Steuerpflicht, Steuerbetrag, Abzüge etc. keinen Vorbehalt anbringt (Urteil des Bundesgerichts 2A.321/2002 vom 2. Juni 2003 E. 2.4.3.2; Urteile des Bundesverwaltungsgerichts A-1391/2006 vom 16. Januar 2008 E. 2.2, A-1520/2006 vom 29. August 2007 E. 3.3). Er kann deshalb auf die Abrechnung bzw. Selbstveranlagung - ausser in den gesetzlich vorgesehenen Fällen - nicht mehr zurückkommen (Urteile des Bundesgerichts 2A.320/2002 und 2A.326/2002 vom 2. Juni 2003 E. 3.4.3.2).</w:t>
      </w:r>
    </w:p>
    <w:p>
      <w:r>
        <w:rPr>
          <w:b/>
        </w:rPr>
        <w:t>E. 3.2</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2001 zur Mehrwertsteuer" vom Sommer 2000 (Wegleitung 2001), gültig ab 1. Januar 2001, Gebrauch gemacht. Darin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Der Steuerpflichtige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A-1527/2006 vom 6. März 2008 E. 2.2, A-1406/2006 vom 30. Januar 2008 E. 2.2, A-1531/2006 vom 10. Januar 2008 E. 2.3, A-1397/2006 vom 19. Juli 2007 E. 2.3; Entscheid der SRK vom 24. Oktober 2002, veröffentlicht in Archiv für Schweizerisches Abgaberecht [ASA] 73 S. 233 E. 2c.aa mit weiteren Hinweisen).</w:t>
      </w:r>
    </w:p>
    <w:p>
      <w:r>
        <w:rPr>
          <w:b/>
        </w:rPr>
        <w:t>E. 4.1</w:t>
      </w:r>
    </w:p>
    <w:p>
      <w:r>
        <w:t>Liegen keine oder nur unvollständige Aufzeichnungen vor, oder stimmen die ausgewiesenen Ergebnisse mit dem wirklichen Sachverhalt offensichtlich nicht überein, so nimmt die ESTV nach Art. 60 MWSTG eine Schätzung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62 MWSTG, der die ESTV beauftragt, die Erfüllung der den Steuerpflichtigen obliegenden Pflichten zu überprüfen (Pascal Mollard, TVA et taxation par estimation, veröffentlicht in ASA 69 S. 519).</w:t>
      </w:r>
    </w:p>
    <w:p>
      <w:r>
        <w:rPr>
          <w:b/>
        </w:rPr>
        <w:t>E. 4.2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(Urteil des Bundesgerichts 2A.552/2006 vom 1. Februar 2007 E. 3.2). Eine Schätzung des geschuldeten Mehrwertsteuerbetrages kann durch die Verwaltung entweder nach vorangehender Kontrolle des Betriebes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 (Urteile des Bundesverwaltungsgerichts A-1389/2006 vom 21. Januar 2008 E. 3.2, A-1454/2006 vom 26. September 2007 E. 2.6.1, A-1397/2006 und A-1398/2006 vom 19. Juli 2007 E. 2.5.1).</w:t>
      </w:r>
    </w:p>
    <w:p>
      <w:r>
        <w:rPr>
          <w:b/>
        </w:rPr>
        <w:t>E. 4.3</w:t>
      </w:r>
    </w:p>
    <w:p>
      <w:r>
        <w:t>Obwohl Art. 60 MWSTG keine Unterscheidung zwischen einer Schätzung mit einer vorangehenden Kontrolle und einer Schätzung ohne vorgängige Kontrolle vornimmt, ist gegen die diesbezügliche Praxis der ESTV nichts einzuwenden (vgl. Entscheide der SRK vom 19. Mai 2004, veröffentlicht in VPB 68.131 E. 2b, vom 24. April 2003 [SRK 2003-022] E. 2b). Wenn die interne Fristenkontrolle der ESTV zeigt, dass ein Steuerpflichtiger seine Abrechnungspflicht verletzt hat, so ist die ESTV keineswegs verpflichtet, vor der schätzungsweisen Ermittlung des Umsatzes dieses Steuerpflichtigen eine Kontrolle in dessen Betrieb bzw. seiner Geschäftsunterlagen durchzuführen. Es genügt vielmehr, wenn der Umsatz des Steuerpflichtigen von der ESTV durch eine interne Schätzung ermittelt wird und sich die ESTV eine spätere Kontrolle vorbehält. In diesem Sinn handelt es sich bei der internen Schätzung nicht um eine definitive, sondern um eine provisorische Schätzung (Entscheid der SRK vom 8. Dezember 2004 [SRK 2004-106] E. 2a). Die interne Schätzung durch die ESTV kann tendenziell nicht zu einem gleich exakten Ergebnis führen wie die Schätzung nach einer Kontrolle im Betrieb bzw. der Geschäftsunterlagen des Steuerpflichtigen. Bei der internen Schätzung stehen der Verwaltung naturgemäss weniger Kenntnisse über den Steuerpflichtigen zur Verfügung, als nach einer vorangegangenen Kontrolle, es handelt sich mithin um eine «grobe Schätzung» (Entscheid der SRK vom 25. August 1998, veröffentlicht in VPB 63.27 E. 4d). Die interne Schätzung kann zu einer definitiven Schätzung werden, wenn sie in Rechtskraft erwächst und die ESTV in der Folge auf eine Kontrolle im Betrieb bzw. der Geschäftsunterlagen des Steuerpflichtigen verzichtet (Entscheid der SRK vom 19. Mai 2004, veröffentlicht in VPB 68.131 E. 2c). Der Steuerpflichtige hat jedoch keinen Rechtsanspruch auf eine Kontrolle seines Betriebes bzw. seiner Geschäftsunterlagen durch die ESTV vor der ermessensweisen Festsetzung des geschuldeten Steuerbetrages (Entscheid der SRK vom 25. August 1998, veröffentlicht in VPB 63.27 E. 4d). Die Methode der internen Schätzung ist zur Ermittlung des Steuerbetrages als sachgerecht, angemessen, praktikabel sowie als mit Art. 9 der Bundesverfassung der Schweizerischen Eidgenossenschaft vom 18. April 1999 (BV, SR 101) vereinbar anzusehen und deshalb vom Richter nicht zu beanstanden (Urteil des Bundesverwaltungsgerichts A-1535/2006 vom 14. März 2007 E. 2.5.1; Entscheide der SRK vom 27. August 1998 [SRK 1997-013] E. 2d/aa und vom 16. April 1999 [SRK 1998-001] E. 3b). Nach der bisherigen Rechtsprechung soll der Kontrollvorbehalt bei einer internen Schätzung somit verhindern, dass die Rechtskraft des entsprechenden Entscheids einer Kontrolle vor Ort entgegensteht. Aufgrund des Kontrollvorbehalts kann die ESTV auch - aufgrund neuer Erkenntnisse, die sie auf andere Weise erhalten hat - eine neue, den individuellen Verhältnissen besser entsprechende interne Schätzung vornehmen (vgl. dazu E. 5.1 und 5.2). Dies muss insbesondere in den Fällen möglich sein, in denen davon auszugehen ist, dass eine Kontrolle vor Ort nicht zu einem anderen Ergebnis führen würde.</w:t>
      </w:r>
    </w:p>
    <w:p>
      <w:r>
        <w:rPr>
          <w:b/>
        </w:rPr>
        <w:t>E. 5.1</w:t>
      </w:r>
    </w:p>
    <w:p>
      <w:r>
        <w:t>Die ESTV hat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selber zu vertreten hat (Urteil des Bundesgerichts 2A.437/2005 vom 3. Mai 2006 E. 3.2; Urteile des Bundesverwaltungsgerichts A-1526/2006 vom 28. Januar 2008 E. 3.3 und 3.4, A-1531/2006 vom 10. Januar 2008 E. 2.5.1, A-1393/2006 vom 10. Dezember 2007 E. 3.2.2 mit Hinweisen). Ein pflichtgemässes Ermessen schliesst aber auch ein, dass die ESTV in zumutbarem Rahmen Auskünfte, Nachweise und Belege bei Dritten einholt (Metzger, a.a.O., S. 190 Rz. 3).</w:t>
      </w:r>
    </w:p>
    <w:p>
      <w:r>
        <w:rPr>
          <w:b/>
        </w:rPr>
        <w:t>E. 5.2</w:t>
      </w:r>
    </w:p>
    <w:p>
      <w:r>
        <w:t>Naturgemäss weist die Methode der internen Schätzung tendenziell mehr Fehlerquellen auf, als eine Schätzung nach vorangehender Kontrolle des Betriebes. Dies entbindet die ESTV jedoch nicht davon, die individuellen Verhältnisse des Steuerpflichtigen möglichst exakt in die Schätzung einfliessen zu lassen. Wie bei der Schätzung nach der vorangehenden Kontrolle des Betriebes bzw. der Geschäftsunterlagen des Steuerpflichtigen gibt es auch bei der internen Schätzung folgende zwei Methoden: unter Verwendung der bereits der ESTV zur Verfügung stehenden Unterlagen (z. B. frühere Abrechnungen, Ergebnisse früherer Kontrollen, Auskünfte Dritter, betriebliche Kennzahlen wie Anzahl der Mitarbeiter etc.) kann einerseits durch die Verwaltung eine Rekonstruktion der Abrechnung vorgenommen werden. Die Verwaltung hat in diesem Fall die Schätzung unter Berücksichtigung der vorhandenen Ausgangsunterlagen vorzunehmen. Andererseits kann die ESTV die interne Schätzung auf Grund von Erfahrungszahlen vornehmen, die sie bei Kontrollen von Betrieben der gleichen Branche gewonnen hat (Entscheid der SRK vom 25. August 1998, veröffentlicht in VPB 63.27 E. 5b).</w:t>
      </w:r>
    </w:p>
    <w:p>
      <w:r>
        <w:rPr>
          <w:b/>
        </w:rPr>
        <w:t>E. 5.3</w:t>
      </w:r>
    </w:p>
    <w:p>
      <w:r>
        <w:t>Eine steuerpflichtige Person hat grundsätzlich zwei Möglichkeiten, um gegen eine von der ESTV vorgenommene interne Schätzung eine Beschwerde zu begründen (vgl. Urteil des Bundesgerichts vom 13. Oktober 1998, veröffentlicht in ASA 68 S. 429 E. 3c/bb und 3d). Sie reicht zusammen mit ihrer Beschwerde eine vollständig ausgefüllte und unterzeichnete Mehrwertsteuerabrechnung für das fragliche Quartal ein, welche sich auf die Buchhaltung ihres Betriebes abstützt. Es besteht aber auch die Möglichkeit, die Höhe der internen Schätzung auf andere Weise zu bestreiten. Die beschwerdeführende Person muss diesfalls ausführlich begründen und beweisen, weshalb die von der ESTV zugrunde gelegten Zahlen nicht der Realität entsprechen können. Es genügt nicht, einzig zu erklären, die Buchhaltung habe nicht erstellt werden können oder die Schätzung sei zu hoch. Vielmehr ist nach der Rechtsprechung des Bundesgerichts eine ausführliche Begründung erforderlich, die sich eingehend mit der Höhe der Steuerforderung auseinandersetzt und die Schätzung der Verwaltung widerlegt (Urteil des Bundesgerichts 2A.109/2005 vom 10. März 2006 E. 2.3; Urteil des Bundesverwaltungsgerichts A-1403/2006 vom 5. Juli 2007 E. 2.2.1; Entscheide der SRK vom 28. Mai 2003, veröffentlicht in VPB 67.128 E. 4d, vom 30. September 2002, veröffentlicht in VPB 67.54 E. 1b/aa).</w:t>
      </w:r>
    </w:p>
    <w:p>
      <w:r>
        <w:rPr>
          <w:b/>
        </w:rPr>
        <w:t>E. 6</w:t>
      </w:r>
    </w:p>
    <w:p>
      <w:r>
        <w:t>Im vorliegenden Fall ist strittig, ob die ESTV zu Recht für die Schlussabrechnung auf das Ende der Steuerpflicht per 30. Juni 2003 zusätzlich Fr. 40'800.-- Eigenverbrauchsteuer auf dem Warenlager nebst Verzugszins nachforderte. Zur Beantwortung dieser Frage ist zunächst zu klären, ob die Aussage des damaligen Buchhalters als nachträgliche Deklaration der Eigenverbrauchsteuer bei Beendigung der Steuerpflicht zu qualifizieren ist oder ob die ESTV gestützt darauf (bloss) eine erneute interne Schätzung der Eigenverbrauchsteuer vornahm (E. 6.1). Bei der Annahme einer neuen internen Schätzung ist zu prüfen, ob der in Rechtskraft erwachsene Entscheid vom 28. Juni 2004, mit dem die ESTV die Beschwerdeführerin für das 2. Quartal 2003 und die Schlussabrechnung bereits zu einer Zahlung von insgesamt Fr. 20'000.-- Mehrwertsteuer zuzüglich Verzugszins verurteilt hat, nicht dieser zusätzlichen Steuernachforderung entgegensteht (E. 6.2). Wird dies verneint, ist schliesslich die Durchführung der Schätzung auf ihre Rechtmässigkeit zu überprüfen (E. 6.3).</w:t>
      </w:r>
    </w:p>
    <w:p>
      <w:r>
        <w:rPr>
          <w:b/>
        </w:rPr>
        <w:t>E. 6.1</w:t>
      </w:r>
    </w:p>
    <w:p>
      <w:r>
        <w:t>Der damalige Buchhalter der Beschwerdeführerin, B._______, teilte der ESTV am 17. März 2005 unbestrittenermassen telefonisch mit, dass der Wert des Warenlagers bei Beendigung der Steuerpflicht per 30. Juni 2003 sich auf ca. 700'000.-- bis Fr. 800'000.-- belaufen habe. Die gemachte Erklärung stellt jedoch von Vornherein keine vorbehaltlose Deklaration dar, an welche die Beschwerdeführerin nach konstanter Rechtsprechung gebunden wäre (E. 3.1). Der Buchhalter hat keine genaue Angabe gemacht, sondern selber - offenbar auf entsprechende Frage der ESTV - eine Schätzung des Wertes des Teppichlagers vorgenommen. Im Weiteren ist für die Bemessung der Eigenverbrauchsteuer bei Beendigung der Steuerpflicht bei neuen Gegenständen bzw. solchen, die von der steuerpflichtigen Person nicht in Gebrauch genommen worden sind, wovon vorliegend auszugehen ist, nicht auf den Marktwert des Warenlagers, sondern gemäss Art. 34 Abs. 1 Bst. a MWSTG auf die betreffenden Einkaufspreise abzustellen (vgl. dazu E. 2.4). Auch aus diesem Grund kann keine Deklaration der Eigenverbrauchsteuer vorliegen. Im Übrigen geht die ESTV selber von einer "Annahme" und nicht von einer "Deklaration" aus (vgl. EA Nr. 688'300 vom 5. April 2005). Die ESTV nahm somit aufgrund der Aussage des damaligen Buchhalters eine erneute interne Schätzung der Eigenverbrauchsteuer bei Beendigung der Steuerpflicht vor und korrigierte ihre bisherige Schätzung.</w:t>
      </w:r>
    </w:p>
    <w:p>
      <w:r>
        <w:rPr>
          <w:b/>
        </w:rPr>
        <w:t>E. 6.2</w:t>
      </w:r>
    </w:p>
    <w:p>
      <w:r>
        <w:t>In ihrem Entscheid vom 28. Juni 2004 behielt sich die ESTV vor, ihre Forderung aufgrund einer neuen Kontrolle zu berichtigen. Dieser Kontrollvorbehalt ermöglicht der ESTV die Steuerschätzung sowohl aufgrund einer Kontrolle vor Ort als auch - aufgrund neuer Erkenntnisse, die sie auf andere Weise erhalten hat - mittels einer neuen internen Schätzung zu korrigieren (E. 4.3 in fine). Vorliegend stellt die Aussage des damaligen Buchhalters diese neue Erkenntnis dar, aufgrund derer sie eine neue interne Schätzung vornahm. Das Vorgehen der ESTV war folglich durch den Kontrollvorbehalt des Entscheids vom 28. Juni 2004 gedeckt und seine Rechtskraft steht deshalb der zusätzlichen Steuerforderung für die Schlussabrechnung nicht entgegen.</w:t>
      </w:r>
    </w:p>
    <w:p>
      <w:r>
        <w:rPr>
          <w:b/>
        </w:rPr>
        <w:t>E. 6.3.1</w:t>
      </w:r>
    </w:p>
    <w:p>
      <w:r>
        <w:t>Es gelang der Beschwerdeführerin vorliegend nicht, mit ihrer Beschwerde die ausstehende Schlussabrechnung, die sich auf die Buchhaltung ihres Betriebs abstützt, vollständig ausgefüllt und unterzeichnet einzureichen, um so die (neue) interne Schätzung der ESTV zu widerlegen. Gemäss der Rechtsprechung hat die Beschwerdeführerin aber auch die Möglichkeit, die Höhe der internen Schätzung auf andere Weise zu bestreiten. Sie muss diesfalls aber ausführlich begründen und beweisen, weshalb die von der ESTV zugrunde gelegten Zahlen nicht der Realität entsprechen (E. 5.3).</w:t>
      </w:r>
    </w:p>
    <w:p>
      <w:r>
        <w:rPr>
          <w:b/>
        </w:rPr>
        <w:t>E. 6.3.2</w:t>
      </w:r>
    </w:p>
    <w:p>
      <w:r>
        <w:t>Dazu macht die Beschwerdeführerin geltend, die offenbar von B._______ abgegebene Erklärung, wonach sich der Wert des Teppichlagers auf Fr. 700'000.-- bis Fr. 800'000.-- belaufen habe, sei falsch. Es sei willkürlich, wenn die ESTV aufgrund eines Telefongesprächs mit einer Person, die weder Organ noch Angestellter sei, eine Schätzung vornehme. B._______ verfüge nicht über die Fachkenntnis, um das Warenlager zu bewerten. Eine solche Bewertung hätte einzig vom Geschäftsleiter vorgenommen werden können. Dieser sowie der einzige Verwaltungsrat seien jedoch überhaupt nicht angefragt worden. Das Bundesverwaltungsgericht teilt die Ansicht der Beschwerdeführerin insoweit, dass die ESTV die Schätzung der Eigenverbrauchsteuer auf dem Warenlager bei Beendigung der Steuerpflicht aus mehreren Gründen nicht nach pflichtgemässem Ermessen vorgenommen hat. Zum einen hätte die ESTV nach dem Telefonat mit dem damaligen Buchhalter weitere Erkundigungen (z.B. beim Geschäftsführer oder bei Dritten wie der kantonalen Steuerverwaltung) einholen oder eine Kontrolle vor Ort durchführen müssen. Sich einzig auf ein Telefongespräch mit dem Buchhalter abzustützen, der selber nur von geschätzten Werten spricht, ohne diese auf ihre Plausibilität hin zu überprüfen, ist für eine pflichtgemässe Schätzung nicht ausreichend (vgl. E. 5.1 und 5.2). Im Übrigen ist an die konstante Rechtsprechung im Zusammenhang mit der Berufung auf den Grundsatz von Treu und Glauben zu erinnern, wonach eine nicht schriftlich bestätigte telefonische Auskunft der ESTV grundsätzlich keine genügende Vertrauensgrundlage bildet, auf die sich ein Steuerpflichtiger berufen kann (Urteile des Bundesverwaltungsgerichts A-1561/2007 vom 4. Juli 2008 E. 5.1.4, A-1681/2006 vom 13. März 2008 E. 5.2.7, A-1391/2006 vom 16. Januar 2008 E. 3.2). Dies muss auch im umgekehrten Fall, d.h. bei einer nicht schriftlich bestätigten telefonischen Auskunft des Steuerpflichtigen, gelten. Zudem ist vorliegend für die Bemessung der Eigenverbrauchsteuer die offensichtlich von der ESTV dem Buchhalter gestellte Frage nach dem Wert des Teppichlagers nicht entscheidend, ist doch - wie bereits erwähnt - bei neuen Gegenständen auf die betreffenden Einkaufspreise abzustellen (vgl. E. 2.4). Die von der ESTV vorgenommene Schätzung basiert somit auf einer falschen Basis. Da die ESTV ihre Schätzung auf unmassgebliche Gesichtspunkte stützte, ist vorliegend ein Fall des Ermessensmissbrauchs im Sinn von Art. 49 Bst. a VwVG gegeben (Häfelin/Müller/Uhlmann, a.a.O., Rz. 463). Insbesondere ist es geradezu willkürlich und verletzt die Begründungspflicht, wenn die ESTV nach der Aussage des Buchhalters, dass das Warenlager einen Wert von Fr. 700'000.-- bis Fr. 800'000.-- aufweise, ohne weitere Erklärungen vom höheren Wert ausgeht. Der ESTV sind bei der vorgenommenen Schätzung erhebliche und offensichtliche Fehler unterlaufen. Die Schätzung erfolgte deshalb nicht rechtmässig. Die ESTV hat eine neue Schätzung nach pflichtgemässem Ermessen im Sinn der obigen Erwägungen vorzunehmen. Bei diesem Ergebnis erübrigt es sich auf die weiteren Argumente der Beschwerdeführerin einzugehen.</w:t>
      </w:r>
    </w:p>
    <w:p>
      <w:r>
        <w:rPr>
          <w:b/>
        </w:rPr>
        <w:t>E. 7.1</w:t>
      </w:r>
    </w:p>
    <w:p>
      <w:r>
        <w:t>Nach dem Gesagten ist die Beschwerde gutzuheissen, der Einspracheentscheid vom 17. Juli 2006 ist aufzuheben und die Sache an die ESTV zur Durchführung einer neuen Schätzung nach pflichtgemässem Ermessen zurückzuweisen.</w:t>
      </w:r>
    </w:p>
    <w:p>
      <w:r>
        <w:rPr>
          <w:b/>
        </w:rPr>
        <w:t>E. 7.2</w:t>
      </w:r>
    </w:p>
    <w:p>
      <w:r>
        <w:t>Bei diesem Verfahrensausgang hat die Beschwerdeführerin als obsiegende Partei keine Verfahrenskosten zu tragen. Der ESTV sind ebenfalls keine Verfahrenskosten aufzuerlegen (Art. 63 Abs. 1 und 2 VwVG). Der einbezahlte Kostenvorschuss (Fr. 2'750.--) ist der Beschwerdeführerin nach Eintritt der Rechtskraft des vorliegenden Entscheides zu erstatten.</w:t>
      </w:r>
    </w:p>
    <w:p>
      <w:r>
        <w:rPr>
          <w:b/>
        </w:rPr>
        <w:t>E. 7.3</w:t>
      </w:r>
    </w:p>
    <w:p>
      <w:r>
        <w:t>Die obsiegende Partei hat Anspruch auf eine Parteientschädigung für die ihr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Im vorliegenden Fall wurde keine Parteientschädigung beantragt. Zudem hatte der Vertreter der Beschwerdeführerin im Zeitpunkt der Beschwerdeeinreichung Organstellung. Die Rechtsprechung geht dahin, dass grundsätzlich keine Entschädigung für die Anwaltskosten auszurichten ist, wenn eine Partei sich durch ein Organ vertreten lässt (Urteile des Bundesgerichts 1C_198/2007 vom 21. Dezember 2007 E. 6, 5C.177/2005 vom 25. Februar 2006 E. 8; Urteil des Bundesverwaltungsgerichts A-1420/2006 vom 10. April 2008 E. 6.2.3; Entscheide der SRK vom 9. November 2004 [SRK 2003-169] E. 8, vom 14. Juli 2004 [SRK 2004-103]). Der Beschwerdeführerin ist somit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