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A-1639/2006 vom 27. Juni 2007</w:t>
      </w:r>
    </w:p>
    <w:p>
      <w:r>
        <w:t>Bundesverwaltungsgericht, 2007-06-27, DE</w:t>
      </w:r>
    </w:p>
    <w:p>
      <w:r>
        <w:rPr>
          <w:b/>
        </w:rPr>
        <w:t xml:space="preserve">Quelle: </w:t>
      </w:r>
      <w:r>
        <w:t>https://mcp.opencaselaw.ch/entscheid/bvger_A-1639_2006</w:t>
      </w:r>
    </w:p>
    <w:p>
      <w:r>
        <w:t>FR: TAF A-1639/2006 du 27 juin 2007</w:t>
      </w:r>
    </w:p>
    <w:p>
      <w:r>
        <w:t>IT: TAF A-1639/2006 del 27 giugno 2007</w:t>
      </w:r>
    </w:p>
    <w:p>
      <w:pPr>
        <w:pStyle w:val="Heading2"/>
      </w:pPr>
      <w:r>
        <w:t>Regeste</w:t>
      </w:r>
    </w:p>
    <w:p>
      <w:r>
        <w:t>Mehrwertsteuer</w:t>
      </w:r>
    </w:p>
    <w:p>
      <w:pPr>
        <w:pStyle w:val="Heading2"/>
      </w:pPr>
      <w:r>
        <w:t>Erwägungen</w:t>
      </w:r>
    </w:p>
    <w:p>
      <w:r>
        <w:rPr>
          <w:b/>
        </w:rPr>
        <w:t>E. 1.1</w:t>
      </w:r>
    </w:p>
    <w:p>
      <w:r>
        <w:t>Auf dem Gebiet der Mehrwertsteuer konnten Einspracheentscheide der ESTV nach (dem inzwischen aufgehobenen) Art. 65 MWSTG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Ebenfalls ist die ESTV Vorinstanz im Sinne von Art. 33 VGG. Das Bundesverwaltungsgericht ist daher für die Beurteilung der vorliegenden Beschwerde zuständig. Es übernimmt am 1. Januar 2007 die Beurteilung des vorher bei der SRK hängigen Rechtsmittels und wendet das neue Verfahrensrecht an (Art. 53 Abs. 2 VGG).</w:t>
      </w:r>
    </w:p>
    <w:p>
      <w:r>
        <w:rPr>
          <w:b/>
        </w:rPr>
        <w:t>E. 1.2</w:t>
      </w:r>
    </w:p>
    <w:p>
      <w:r>
        <w:t>Am 1. Januar 2001 sind das MWSTG sowie die Verordnung vom 29. März 2000 zum Bundesgesetz über die Mehrwertsteuer (MWSTGV; SR 641.201) in Kraft getreten.</w:t>
      </w:r>
    </w:p>
    <w:p>
      <w:r>
        <w:rPr>
          <w:b/>
        </w:rPr>
        <w:t>E. 2.1</w:t>
      </w:r>
    </w:p>
    <w:p>
      <w:r>
        <w:t>Art. 5 Bst. a und b MWSTG bestimmen, dass der Mehrwertsteuer die gegen Entgelt erbrachten Lieferungen und Dienstleistungen unterliegen. Die Steuerbarkeit bedingt gemäss Art. 5 Bst. b MWSTG, dass Dienstleistungen gegen Entgelt erbracht werden, mithin einen Leistungsaustausch. Die Gegenleistung muss in ursächlichem Zusammenhang mit der Leistung stehen. Erforderlich ist eine innere wirtschaftliche Verknüpfung zwischen Leistung und Gegenleistung (BGE 126 II 450 E. 6; Urteile des Bundesgerichts vom 30. April 2004, veröffentlicht in Archiv für schweizerisches Abgaberecht [ASA] 75 S. 241 f. E. 3.3 und 2A.175/2002 vom 23. Dezember 2002 E. 3.2; Urteil des Bundesverwaltungsgerichts A-1440/2006 vom 25. Mai 2007 E. 2.1). Die Mehrwertsteuer stellt auf wirtschaftliche Vorgänge ab und sie besteuert den wirtschaftlichen Konsum. Die Qualifikation von mehrwertsteuerlichen Vorgängen und namentlich die Beurteilung der Frage, ob eine Gegenleistung in ursächlichem Zusammenhang mit der Leistung steht, hat deshalb in erster Linie nach wirtschaftlichen, tatsächlichen Kriterien zu erfolgen (wirtschaftliche Betrachtungsweise; Urteil des Bundesgerichts 2A.304/2003 vom 14. November 2003 E. 3.6.1 mit Hinweisen; Entscheid der SRK vom 5. Juli 2005, veröffentlicht in Verwaltungspraxis der Bundesbehörden [VPB] 70.7 E. 2a mit Hinweisen; Urteil des Bundesverwaltungsgerichts A-1588/2006 vom 17. April 2007 E. 3.2; statt vieler vgl. Daniel Riedo, Vom Wesen der Mehrwertsteuer als allgemeine Verbrauchsteuer und von den entsprechenden Wirkungen auf das schweizerische Recht, Bern 1999, S. 112). Ein Leistungsaustausch kann zudem auch gegeben sein, ohne dass ein Vertrag vorliegt (vgl. BGE 126 II 252 f. E. 4a; Urteile des Bundesgerichts 2A.167/2005 vom 8. Mai 2006 E. 4.1 und vom 8. Juni 2000, veröffentlicht in MWST-Journal 2/2000, S. 151 f. E. 4a).</w:t>
      </w:r>
    </w:p>
    <w:p>
      <w:r>
        <w:rPr>
          <w:b/>
        </w:rPr>
        <w:t>E. 2.2.1</w:t>
      </w:r>
    </w:p>
    <w:p>
      <w:r>
        <w:t>Versicherungs- und Rückversicherungsumsätze mit Einschluss der Umsätze aus der Tätigkeit als Versicherungsvertreter oder Versicherungsmakler sind nach Art. 18 Ziffer 18 MWSTG von der Mehrwertsteuer ausgenommen (unecht befreit). Nach der Praxis der ESTV sind die Umsätze sämtlicher Arten von Versicherungen, die durch anerkannte und der Gesetzgebung über die Versicherungsaufsicht unterstellte Versicherungsträger des privaten Rechts und solche des öffentlichen Rechts angeboten werden, der Krankenversicherungen und die Umsätze der selbständigen Versicherungsvertreter, Versicherungsmakler und Versicherungsbroker aus den dazugehörenden Dienstleistungen umfassend von der Mehrwertsteuer ausgenommen (Wegleitung 2001 für Mehrwertsteuerpflichtige [Wegleitung 2001] Rz. 622 f.; vgl. auch Ziffer 2 der Branchenbroschüre Versicherungswesen vom September 2000 [Branchenbroschüre 15]; Alois Camenzind/Niklaus Honauer, Handbuch zum Mehrwertsteuergesetz, 2. Auflage, Bern u.a. 2003, Rz. 793; Philip Robinson/Christian Oberheid, in: Diego Clavadetscher/Pierre-Marie Glauser/Gerhard Schafroth, mwst.com, Kommentar zum Bundesgesetz über die Mehrwertsteuer, Basel/Genf/München 2000, Art. 18 Ziff. 18 Rz. 4 f.; Ziffer 2.2.4 und 2.2.5 Branchenbroschüre 15). Versicherungsvertreter handeln im Auftrag des Versicherers, während Versicherungsmakler im Auftrag des Versicherungsnehmers tätig werden (vgl. Alfred Maurer, Schweizerisches Privatversicherungsrecht, 3. Auflage, Bern 1995, § 15 I).</w:t>
      </w:r>
    </w:p>
    <w:p>
      <w:r>
        <w:rPr>
          <w:b/>
        </w:rPr>
        <w:t>E. 2.2.2</w:t>
      </w:r>
    </w:p>
    <w:p>
      <w:r>
        <w:t>Sinn und Zweck der Befreiungsvorschrift besteht in der Begünstigung des Bezugs von Versicherungsleistungen aus sozialpolitischen Gründen (vgl. Kommentar des Eidgenössischen Finanzdepartements (EFD) zur Mehrwertsteuerverordnung, S. 16). Dabei erstreckt sich die Befreiung auf jene Leistungen, die in Ausübung der begünstigten Tätigkeit erbracht werden. Es handelt sich dabei beispielsweise um die Betreuung der Versicherungsnehmer in Versicherungsangelegenheiten, die Ermittlung und Beschaffung des geeigneten Versicherungsschutzes, die Vertretung ihrer Interessen in Schadenfällen sowie das Inkasso. Entscheidend für die Befreiung von der Mehrwertsteuer ist, dass die erbrachte Leistung berufstypisch ist (vgl. auch Ziffer 2.2.2 Branchenbroschüre 15). Aus dem - auf Gesetzesstufe vorgegebenen - Wesen der Steuerbefreiung ohne Berechtigung zum Vorsteuerabzug (unechte Steuerbefreiung) geht hervor, dass einzig durch die Nichtbelastung der letzten Umsatzstufe insgesamt eine geringere Steuerbelastung für den Endverbraucher bewirkt werden soll. Insofern ist zutreffend, nur die dem Endverbraucher, also demjenigen, der den Versicherungsschutz in Anspruch nimmt, unmittelbar erbrachten Leistungen zu befreien, und nicht etwa auch gewisse Vorleistungen (Urteil des Bundesverwaltungsgerichts A-1440/2006 E. 2.2.2; vgl. zu dieser Problematik auch den Entscheid der SRK vom 28. Oktober 1997, veröffentlicht in MWST-Journal 1/98, S. 24 E. 4b, bestätigt durch Urteil des Bundesgerichts, veröffentlicht in ASA 69 S. 344 E. 6d/aa; vgl. auch ASA 69 S. 658 E. 6a). Weitet die Verwaltungspraxis in Anwendung von Art. 18 Ziff. 18 MWSTG die Steuerbefreiung nicht auf Tätigkeiten aus, die den eigentlichen Versicherungsumsätzen vorgelagert sind, verletzt sie kein übergeordnetes Recht. Vorab beachtet sie den von der Verfassung vorgegebenen Grundsatz der Allgemeinheit der Mehrwertsteuer sowie die daraus in konstanter Rechtsprechung abgeleitete restriktive Handhabung und Auslegung der Befreiungsvorschriften in Art. 18 MWSTG (vgl. hierzu: BGE 124 II 202 E. 5e; Urteil des Bundesgerichts 2A.273/2004 vom 1. September 2005 E. 4.1; Entscheid der SRK vom 29. Juli 2004, veröffentlicht in VPB 69.11 E. 2b/aa). Zusammenfassend entspricht es den Verfassungsvorgaben, wenn die Steuerbefreiung von Art. 18 Ziff. 18 MWSTG auf eigentliche Versicherungsumsätze, den Versicherungsschutz, beschränkt wird. Den Versicherungsumsätzen vorgelagerte Tätigkeiten werden von der Befreiungsvorschrift nicht erfasst (Urteil des Bundesverwaltungsgerichts A-1440/2006 E. 2.2.2; zum Ganzen: Entscheid der SRK vom 27. März 2001, veröffentlicht in VPB 66.11 E. 3c).</w:t>
      </w:r>
    </w:p>
    <w:p>
      <w:r>
        <w:rPr>
          <w:b/>
        </w:rPr>
        <w:t>E. 3.1</w:t>
      </w:r>
    </w:p>
    <w:p>
      <w:r>
        <w:t>Im vorliegenden Fall hat die Beschwerdeführerin mit mehreren Versichererern Zusammenarbeitsverträge abgeschlossen, unter denen sie im Rahmen des MC-Systems Ansprechpartnerin für die Ärzte ist, mit den Ärzteorganisationen MC-Rahmenvereinbarungen aushandelt, bei Ärzteorganisationen bei Bedarf die Netzaufbauarbeiten unterstützt, bei gewichtigen Änderungen für die beteiligten Ärzte und deren Praxisassistentinnen eine Schulung zur administrativen Abwicklung durchführt, die Managed Care-Versicherungsmodelle weiterentwickelt, die Details der operativen Zusammenarbeit mit den Vertragspartnern abspricht und dokumentiert, über Entwicklungen der einzelnen Ärzteorganisationen sowie über neue Verhandlungsregionen regelmässig orientiert, nach Vertragsänderungen und Vertragserneuerungen mit den Ärzteorganisationen die jeweils gültige Fassung der Rahmenvereinbarung zustellt, die monatlich elektronisch gemeldeten MC-Versichertenbestände in die eigene Datenbank übernimmt und den MC-Ärzten konsolidiert über alle teilnehmenden Versicherer pro Ärzteorganisation meldet, die monatlich elektronisch gemeldeten Kostendaten der MC-Versicherten in die eigene Datenbank übernimmt und den MC-Ärzten und gegebenenfalls auch anderen vertraglich eingebundenen Leistungserbringern in einheitlicher Form meldet, quartalsweise ihre Bestandesstatistiken pro Ärzteorganisation mitteilt, den MC-Ärzten eine quartalsweise Auswertung der von ihnen und ihrer Ärzteorganisation verursachten Kosten zustellt, die jährliche Systemauswertung und -abrechnung für die Ärzteorganisation vornimmt, Mutationsmeldungen und neue Ärzte sowie Einzugsgebietsänderungen mindestens monatlich mitteilt und die Koordination zwischen MC-Arzt und Fachstelle bezüglich der Bestellung von Rechnungskopien sicherstellt (vgl. Ziffer 2.1 des Zusammenarbeitsvertrags mit der Krankenkasse Concordia vom 17. / 19. Januar 2005; Ziffer 4 des Zusammenarbeitsvertrags mit der Krankenkasse ... vom 10. September 1998). Für diese Dienstleistungen erhält die Beschwerdeführerin von ihren Vertragspartnern, den Krankenversicherern, ein Entgelt.</w:t>
      </w:r>
    </w:p>
    <w:p>
      <w:r>
        <w:rPr>
          <w:b/>
        </w:rPr>
        <w:t>E. 3.2.1</w:t>
      </w:r>
    </w:p>
    <w:p>
      <w:r>
        <w:t>Die Verfahrensparteien sind sich einig, dass die Beschwerdeführerin nicht als Versicherungsmaklerin für die Versicherten (vgl. oben E. 2.2.2) handelt; sie erhält das Entgelt nicht für die Betreuung von Versicherungsnehmern in Versicherungsangelegenheiten oder für die Ermittlung und Beschaffung des geeigneten Versicherungsschutzes, die Vertretung ihrer Interessen in Schadenfällen oder für das Inkasso (vgl. Ziffer 2.1, 2.2.4 und 2.2.5 Branchenbroschüre 15; Kommentar EFD, a.a.O. S. 16; Camenzind/Honauer/Vallender, a.a.O. Rz. 793).</w:t>
      </w:r>
    </w:p>
    <w:p>
      <w:r>
        <w:rPr>
          <w:b/>
        </w:rPr>
        <w:t>E. 3.2.2</w:t>
      </w:r>
    </w:p>
    <w:p>
      <w:r>
        <w:t>Es handelt sich beim fraglichen Umsatz der Beschwerdeführerin aber auch nicht um durch Versicherungen in Rechnung gestellte Prämien für Versicherungs- und Rückversicherungsleistungen (vgl. Ziffer 627 Wegleitung 2001; Ziffer 2.2 Branchenbroschüre 15) oder um eine Leistung des Versicherers aufgrund eines abgeschlossenen Versicherungsvertrages (vgl. Camenzind/Honauer/Vallender, a.a.O. Rz. 792). Dazu fehlt der Beschwerdeführerin schon die Eigenschaft als Versicherung. Ein Vertragsverhältnis zwischen den Versicherten und der Beschwerdeführerin liegt nicht vor. Das Versicherungsvertragsverhältnis besteht zwischen den jeweiligen Versicherern und den Versicherten.</w:t>
      </w:r>
    </w:p>
    <w:p>
      <w:r>
        <w:rPr>
          <w:b/>
        </w:rPr>
        <w:t>E. 3.2.3</w:t>
      </w:r>
    </w:p>
    <w:p>
      <w:r>
        <w:t>Schliesslich handelt die Beschwerdeführerin aber auch nicht als Vertreterin der Versicherungen zum Abschluss von Versicherungsverträgen, sondern hat mit diesen als direkte Vertragspartnerin Zusammenarbeitsverträge abgeschlossen, welche mit dem dafür bezogenen Entgelt zweifellos wirtschaftlich verknüpft sind (vgl. Zusammenarbeitsvertrag mit der Krankenkasse ... vom 17. / 19. Januar 2005). Die Beschwerdeführerin vertritt auf Grund dieser vertraglichen Vereinbarungen die Versicherer im Abschluss von Zusammenarbeitsverträgen mit Ärzteorganisationen (vgl. die Rahmenvereinbarung zwischen der Krankenkasse ..., der Krankenkasse ... und der Krankenkasse ... mit dem Ärzteverein ... vom 11. / 13. Juli 2001). Obwohl nicht sämtliche von der Beschwerdeführerin eingereichten Verträge den hier zu beurteilenden Zeitraum (vom 1. Januar 2001 bis 31. Dezember 2003) betreffen, hat sie diese Unterlagen als Beleg dafür eingelegt, dass ihr Entgelt aus solchen Verträgen von der Mehrwertsteuerpflicht ausgenommen sei, da es sich dabei um typische von ihr abgeschlossene Vereinbarungen handeln soll. Die ESTV hat im Verlauf dieses Beschwerdeverfahrens keine Einwendungen dagegen erhoben, sodass sich unter diesen Umständen das Bundesverwaltungsgericht auf diese Verträge auch für die in diesem Verfahren streitigen Mehrwertsteuerforderungen aus dem Zeitraum vom 1. Januar 2001 bis zum 31. Dezember 2003 stützen kann, weil davon ausgegangen werden darf, in der massgebenden Periode seien gleichlautende Verträge abgeschlossen worden.</w:t>
      </w:r>
    </w:p>
    <w:p>
      <w:r>
        <w:rPr>
          <w:b/>
        </w:rPr>
        <w:t>E. 3.2.4</w:t>
      </w:r>
    </w:p>
    <w:p>
      <w:r>
        <w:t>Betroffen ist vorliegendenfalls damit nicht die letzte Umsatzstufe des Endverbrauchers als Versicherter im Bereich der Krankenversicherung, die von der unechten Steuerbefreiung betreffend Mehrwertsteuer profitieren will (vgl. oben E. 2.2.2). Es kann deshalb der Auffassung der Beschwerdeführerin nicht zugestimmt werden, das Betreiben eines Hausarztmodells (welche einzelnen Leistungen auch immer davon umfasst sind) habe als eigentliche Versicherungsleistung zu gelten. Die umschriebene Tätigkeit ist vielmehr als Eingangsleistung der Krankenversicherer anzusehen, ein Leistungsaustausch zwischen der Beschwerdeführerin und jenen Unternehmen liegt vor. Die Krankenversicherungen kaufen das Produkt "Hausarztmodell" bei der Beschwerdeführerin ein und bieten es dann im eigenen Namen den Krankenversicherten an. Die Beschwerdeführerin erbringt mit ihren vertraglichen Leistungen gegenüber ihren Vertragspartnern, den Krankenversicherungen, keine Versicherungsumsätze. Vielmehr geht es dabei um (organisatorische) Vorleistungen im Bereich der medizinischen Heilbehandlungen, die von den Krankenversicherungen bei der Beschwerdeführerin eingekauft worden sind. Es handelt sich um keine solchen Versicherungsleistungen, die in Ausübung der begünstigten Tätigkeit - nämlich des Versicherungsumsatzes in Form von Versicherungsprämien und deren Nebenleistungen oder der späteren Leistung der Versicherungsgesellschaft (vgl. Camenzind/Honauer/Vallender, a.a.O. Rz. 792) - erbracht würden. An dieser Stelle ist nochmals zu wiederholen, dass Ausnahmen von der Mehrwertsteuer grundsätzlich restriktiv auszulegen sind (vgl. ASA 69 S. 804; 71 S. 57, ASA 71 S. 657), sodass - auch nicht aus sozialpolitischen Überlegungen - Raum für eine Ausdehnung der betreffenden Steuerbefreiung bleibt. In der Versicherungsbranche sind organisatorische Tätigkeiten wie sie die Beschwerdeführerin erbringt, nicht selten; so werden Dienstleistungen für Pools und Syndikate (z. B. Administration, Koordination, Buchführung) von der Verwaltung als mehrwertsteuerpflichtig angesehen. Der Umsatz, den die Beschwerdeführerin aus ihrer Geschäftstätigkeit mit den Krankenversicherern erzielt, unterliegt deshalb nach Art. 5 Bst. b MWSTG der Mehrwertsteuer. Nicht massgeblich ist schliesslich, dass jene Aufgaben, die die Beschwerdeführerin gegenüber ihren Vertragspartnern erbringt, sonst von den Krankenversicherungen selbst ausgeführt werden müssten und befreit wären. Soweit die Trägerversicherungen und weitere angeschlossene Krankenversicherungen ihre Aufgabenerfüllung an die Beschwerdeführerin auslagern, entsteht ein neues Umsatzstadium und das gesamte dafür entrichtete Entgelt bildet mehrwertsteuerliche Bemessungsgrundlage.</w:t>
      </w:r>
    </w:p>
    <w:p>
      <w:r>
        <w:rPr>
          <w:b/>
        </w:rPr>
        <w:t>E. 3.2.5</w:t>
      </w:r>
    </w:p>
    <w:p>
      <w:r>
        <w:t>Zusammenfassend ist die Beschwerdeführerin weder als Versicherungsvertreterin, Versicherungsmaklerin oder Versicherungsbrokerin für die Krankenversicherungen auf der "Eingangsseite" aufgetreten. Sie ist vielmehr als Organisatorin des Hausarztmodells, eines Leistungspaketes verschiedener Teilleistungen, anzusprechen; darin besteht ihre Leistung, die sie den Krankenversicherern gegenüber erbringt. Auch mit dieser Argumentation kann sie daher nichts für sich ableiten.</w:t>
      </w:r>
    </w:p>
    <w:p>
      <w:r>
        <w:rPr>
          <w:b/>
        </w:rPr>
        <w:t>E. 3.2.6</w:t>
      </w:r>
    </w:p>
    <w:p>
      <w:r>
        <w:t>Der von der ESTV geltend gemachte Mehrwertsteuerbetrag wurde von der Beschwerdeführerin der Höhe nach sowie bezüglich der Verzinsung nicht bestritten, sodass das Bundesverwaltungsgericht keinen Anlass sieht, die Berechnung einer neuerlichen Überprüfung zu unterziehen.</w:t>
      </w:r>
    </w:p>
    <w:p>
      <w:r>
        <w:rPr>
          <w:b/>
        </w:rPr>
        <w:t>E. 4</w:t>
      </w:r>
    </w:p>
    <w:p>
      <w:r>
        <w:t>Die Beschwerde ist daher in allen Punkten abzuweisen. Bei diesem Ausgang des Verfahrens hat die Beschwerdeführerin nach Art. 63 Abs. 1 VwVG die Verfahrenskosten zu tragen. Sie werden in Anwendung des Art. 4 des Reglements vom 11. Dezember 2006 über die Kosten und Entschädigungen vor dem Bundesverwaltungsgericht (VGKE, SR 173.320.2) auf Fr. 6'500.-- festgesetzt und mit dem von der Beschwerdeführerin geleisteten Kostenvorschuss von Fr. 6'500.-- verrechnet. Eine Parteientschädigung ist nicht auszurichten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