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A-1635/2006 vom 27. August 2008</w:t>
      </w:r>
    </w:p>
    <w:p>
      <w:r>
        <w:t>Bundesverwaltungsgericht, 2008-08-27, DE</w:t>
      </w:r>
    </w:p>
    <w:p>
      <w:r>
        <w:rPr>
          <w:b/>
        </w:rPr>
        <w:t xml:space="preserve">Quelle: </w:t>
      </w:r>
      <w:r>
        <w:t>https://mcp.opencaselaw.ch/entscheid/bvger_A-1635_2006</w:t>
      </w:r>
    </w:p>
    <w:p>
      <w:r>
        <w:t>FR: TAF A-1635/2006 du 27 août 2008</w:t>
      </w:r>
    </w:p>
    <w:p>
      <w:r>
        <w:t>IT: TAF A-1635/2006 del 27 agosto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der Ende 2006 bei der SRK hängigen Rechtsmittel und wendet das neue Verfahrensrecht an (Art. 53 Abs. 2 VGG).</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Am 1. Januar 2001 sind das MWSTG sowie die zugehörige Verordnung (Verordnung vom 29. März 2000 zum Bundesgesetz über die Mehrwertsteuer [MWSTGV, SR 641.201]) in Kraft getreten. Das neue Recht gilt für Umsätze, die ab Inkrafttreten des MWSTG getätigt worden sind. Der zu beurteilende Sachverhalt hat sich indessen in den Jahren 1999 bis 2000 zugetragen. Auf die vorliegende Beschwerde ist damit noch altes Recht, d.h. die MWSTV, anwendbar.</w:t>
      </w:r>
    </w:p>
    <w:p>
      <w:r>
        <w:rPr>
          <w:b/>
        </w:rPr>
        <w:t>E. 2.1</w:t>
      </w:r>
    </w:p>
    <w:p>
      <w:r>
        <w:t>Die Veranlagung und Entrichtung der Mehrwertsteuer erfolgt nach dem Selbstveranlagungsprinzip (Art. 37 f. MWSTV; vgl. Ernst Blumenstein/Peter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(Steuer vom Umsatz abzüglich Vorsteuern) an die ESTV abzuliefern hat. Die ESTV ermittelt die Höhe des geschuldeten Mehrwertsteuerbetrages nur dann an Stelle des Steuerpflichtigen, wenn dieser seinen Pflichten nicht nachkommt (vgl. Alois Camenzind/Niklaus Honauer/Klaus A. Vallender, Handbuch zum neuen Mehrwertsteuergesetz [MWSTG], 2. Aufl., Bern 2003, Rz. 1680 ff.). Der Steuerpflichtige hat seine Mehrwertsteuerforderung selbst festzustellen; er ist allein für die vollständige und richtige Versteuerung seiner steuerbaren Umsätze und für die korrekte Ermittlung der Vorsteuer verantwortlich (vgl. Kommentar des Eidgenössischen Finanzdepartementes zur MWSTV [Kommentar EFD], S. 38). Ein Verstoss des Steuerpflichtigen gegen diesen Grundsatz ist als schwerwiegend anzusehen, da der Steuerpflichtige durch das Missachten dieser Vorschrift die ordnungsgemässe Erhebung seiner Mehrwertsteuer gefährdet (Urteile des Bundesverwaltungsgerichts A-1527/2006 vom 6. März 2008 E. 2.1, A-1406/2006 vom 30. Januar 2008 E. 2.1, A-1531/2006 vom 10. Januar 2008 E. 2.2, A-1454/2006 vom 26. September 2007 E. 2.2, A-1398/2006 vom 19. Juli 2007 E. 2.2 mit weiteren Hinweisen).</w:t>
      </w:r>
    </w:p>
    <w:p>
      <w:r>
        <w:rPr>
          <w:b/>
        </w:rPr>
        <w:t>E. 2.2</w:t>
      </w:r>
    </w:p>
    <w:p>
      <w:r>
        <w:t>Gemäss Art. 47 Abs. 1 MWSTV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mit dem Erlass der "Wegleitung 1997 für Mehrwertsteuerpflichtige" vom Frühling 1997 (Wegleitung 1997), gültig ab 1. Januar 1997, Gebrauch gemacht. In der Wegleitung 1997 sind genauere Angaben enthalten, wie eine Buchhaltung auszugestalten ist (Rz. 870 ff.). Alle Geschäftsfälle müssen fortlaufend, chronologisch und lückenlos aufgezeichnet werden (Rz. 874)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879 der Wegleitung 1997). Nach der Rechtsprechung ist der Steuerpflichtige selbst bei geringem Barverkehr zur Führung zumindest eines einfachen ordentlichen Kassabuchs verpflichtet. Er ist zwar mehrwertsteuerrechtlich nicht gehalten, kaufmännische Bücher im Sinne des Handelsrechts zu führen; die Bücher müssen die erzielten Umsätze jedoch lückenlos erfassen und die entsprechenden Belege sind aufzuheben (Urteile des Bundesgerichts 2A.693/2006 vom 26. Juli 2007 E. 3.1, 2A.569/2006 vom 28. Februar 2007 E. 3.1; Urteile des Bundesverwaltungsgerichts A-1636/2006 und A-1637/2006 vom 2. Juli 2008 E. 2.2, A-1527/2006 vom 6. März 2008 E. 2.2, A-1406/2006 vom 30. Januar 2008 E. 2.2; Entscheid der SRK vom 24. Oktober 2002, veröffentlicht in Archiv für Schweizerisches Abgaberecht [ASA] 73 S. 233 E. 2c.aa mit weiteren Hinweisen). Damit befinden sich die mehrwertsteuerlichen Anforderungen an die Aufzeichnungspflicht auch im Einklang mit den bei den direkten Steuern geltenden Regelungen (vgl. auch Rz. 877 der Wegleitung 1997). Die detaillierte und chronologische Führung eines Kassabuches muss besonders hohen Anforderungen genügen (vgl. dazu auch Hans Gerber, Die Steuerschätzung [Veranlagung nach Ermessen], in Steuer Revue [StR] 1980 S. 306).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2A.693/2006 vom 26. Juli 2007 E. 3.1, 2A.657/2005 vom 9. Juni 2006 E. 3; Urteile des Bundesverwaltungsgerichts A-1527/2006 vom 6. März 2008 E. 2.2, A-1406/2006 vom 30. Januar 2008 E. 2.2, A-1454/2006 vom 26. September 2007 E. 2.3 mit weiteren Hinweisen). Da einer Kasse nicht mehr entnommen werden kann, als darin enthalten ist, ist ein Negativsaldo in einer Kasse definitionsgemäss nicht möglich. Nur wenn anderweitige flüssige Mittel vorhanden sind, können Zahlungen vorgenommen werden, deren Einsatz aber offensichtlich nicht verbucht worden ist. Der Umstand von Negativsaldi auf dem Kassenkonto ist deshalb ein gewichtiges Indiz für das Vorhandensein von Geschäftsvorgängen, die nicht ordnungsgemäss bzw. gar nicht verbucht worden sind (Urteile des Bundesverwaltungsgerichts A-1353/2006 vom 7. April 2008 E. 3.1, A-1527/2006 vom 6. März 2008 E. 4.3.3; Entscheide der SRK vom 18. Juli 2006 [SRK 2004-178] E. 3b, vom 24. April 2006 [SRK 2004-066] E. 3b, vom 18. Juli 2003, veröffentlicht in Verwaltungspraxis der Bundesbehörden [VPB] 68.19 E. 4c/cc).</w:t>
      </w:r>
    </w:p>
    <w:p>
      <w:r>
        <w:rPr>
          <w:b/>
        </w:rPr>
        <w:t>E. 2.3</w:t>
      </w:r>
    </w:p>
    <w:p>
      <w:r>
        <w:t>Liegen keine oder nur unvollständige Aufzeichnungen vor, oder stimmen die ausgewiesenen Ergebnisse mit dem wirklichen Sachverhalt offensichtlich nicht überein, so nimmt die ESTV nach Art. 48 MWSTV eine Schätzung nach pflichtgemässem Ermessen vor. Eine Ermessenstaxation ist somit immer dann nötig, wenn eine steuerpflichtige Person ihren Obliegenheiten zur Mitwirkung nicht ordnungsgemäss nachkommt und entweder überhaupt keine, oder aber unvollständige oder ungenügende Aufzeichnungen führt (Dieter Metzger, Kurzkommentar zum Mehrwertsteuergesetz, Bern 2000, S. 190 Rz. 1). Die Ermessenseinschätzung ist deshalb auch logische Folge von Art. 50 MWSTV, der die ESTV beauftragt, die Erfüllung der den Steuerpflichtigen obliegenden Pflichten zu überprüfen (Pascal Mollard, TVA et taxation par estimation, veröffentlicht in ASA 69 S. 519).</w:t>
      </w:r>
    </w:p>
    <w:p>
      <w:r>
        <w:rPr>
          <w:b/>
        </w:rPr>
        <w:t>E. 3.1</w:t>
      </w:r>
    </w:p>
    <w:p>
      <w:r>
        <w:t>Zu unterscheiden sind zwei voneinander unabhängige Konstellationen, welche zu einer Ermessenseinschätzung gemäss Art. 48 MWSTV führen. Erstens geht es um diejenige der ungenügenden Aufzeichnung, wobei eine Schätzung insbesondere auch dann erfolgen muss, wenn die Verstösse gegen die formellen Buchhaltungsregeln derart gravierend sind, dass sie die materielle Richtigkeit der Buchhaltungsergebnisse in Frage stellen (Urteil des Bundesgerichts 2A.437/2005 vom 3. Mai 2006 E. 3.1; Urteile des Bundesverwaltungsgerichts A-1531/2006 vom 10. Januar 2008 E. 2.4, A-1397/2006 vom 19. Juli 2007 E. 2.4; Entscheid der SRK vom 24. Oktober 2002, veröffentlicht in ASA 73 S. 233 E. 2c.aa). Zweitens kann selbst eine formell einwandfreie Buchführung die Durchführung einer Schätzung erfordern, wenn die ausgewiesenen Ergebnisse mit dem wirklichen Sachverhalt offensichtlich nicht übereinstimmen. Dies ist nach der Rechtsprechung der Fall, wenn die in den Büchern enthaltenen Geschäftsergebnisse von den von der Steuerverwaltung erhobenen branchenspezifischen Erfahrungszahlen wesentlich abweichen, vorausgesetzt der Steuerpflichtige ist nicht in der Lage, allfällige besondere Umstände, auf Grund welcher diese Abweichung erklärt werden kann, nachzuweisen oder zumindest glaubhaft zu machen (Urteile des Bundesverwaltunsgerichts A-1406/2006 vom 30. Januar 2008 E. 2.3, A-5712/2007 vom 17. Januar 2008 E. 2.6; Entscheid der SRK vom 3. Dezember 2003, veröffentlicht in VPB 68.73 E. 2b mit weiteren Hinweisen). Für das Vorliegen der Voraussetzungen zur Vornahme einer Ermessenseinschätzung ist nach den allgemeinen Regeln die ESTV beweisbelastet (vgl. Blumenstein/Locher, a.a.O., S. 454; Urteile des Bundesverwaltungsgerichts A-1527/2006 vom 6. März 2008 E. 2.4, A-1531/2006 vom 10. Januar 2008 E. 2.4, A-1454/2006 vom 26. September 2007 E. 2.5).</w:t>
      </w:r>
    </w:p>
    <w:p>
      <w:r>
        <w:rPr>
          <w:b/>
        </w:rPr>
        <w:t>E. 3.2</w:t>
      </w:r>
    </w:p>
    <w:p>
      <w:r>
        <w:t>Sind die Voraussetzungen für eine Ermessenstaxation erfüllt, ist die ESTV nicht nur berechtigt, sondern verpflichtet, eine solche nach pflichtgemässem Ermessen vorzunehmen. Die Fälle, in denen die Steuerpflichtigen ihre Mitwirkungspflichten nicht wahrnehmen und keine, unvollständige oder ungenügende Aufzeichnungen über ihre Umsätze führen, dürfen keine Steuerausfälle zur Folge haben (Kommentar EFD zu Art. 48 MWSTV; Urteil des Bundesgerichts 2A.552/2006 vom 1. Februar 2007 E. 3.2).</w:t>
      </w:r>
    </w:p>
    <w:p>
      <w:r>
        <w:rPr>
          <w:b/>
        </w:rPr>
        <w:t>E. 3.3</w:t>
      </w:r>
    </w:p>
    <w:p>
      <w:r>
        <w:t>Das Bundesverwaltungsgericht auferlegt sich bei der Überprüfung von zulässigerweise erfolgten Ermessensveranlagungen eine gewisse Zurückhaltung und führt so die gefestigte diesbezügliche Rechtsprechung der SRK weiter. Diese Praxis wurde am 22. November 2007 höchstrichterlich bestätigt (Urteil des Bundesgerichts 2C_426/2007 vom 22. November 2007 E. 4.3). Ob indessen die Voraussetzungen für die Vornahme einer Ermessensveranlagung gegeben sind, überprüft das Bundesverwaltungsgericht uneingeschränkt (Urteile des Bundesverwaltungsgerichts A-1636/2006 und A-1637/2006 vom 2. Juli 2008 E. 2.5, A-1406/2006 vom 30. Januar 2008 E. 1.3, A-1516/2006 vom 5. Dezember 2007 E. 1.2; Entscheide der SRK vom 10. Mai 2005 [SRK 2004-023] E. 1b, vom 24. Oktober 2005, veröffentlicht in VPB 70.41 E. 2d/cc mit weiteren Hinweisen).</w:t>
      </w:r>
    </w:p>
    <w:p>
      <w:r>
        <w:rPr>
          <w:b/>
        </w:rPr>
        <w:t>E. 4.1</w:t>
      </w:r>
    </w:p>
    <w:p>
      <w:r>
        <w:t>Im vorliegenden Fall wies das Kassakonto der Beschwerdeführerin in den vorliegend relevanten Jahren mehrfach Minussaldi auf (am 18. und 20. Mai, 6. und 9. August 1999, 28. und 29. März, 1., 4., 5. und 7. April, 12. Mai und 13. Juni 2000). Dabei handelte es sich um Negativsaldi am Tagesende und nicht um sog. "unechte Minussaldi" während des Tages, wie die Beschwerdeführerin in ihrer Einsprache vom 14. Juli 2003 behauptete. Ein Negativsaldo in einer Kasse ist definitionsgemäss nicht möglich und bildet ein gewichtiges Indiz für das Vorhandensein von Geschäftsvorgängen, die nicht ordnungsgemäss bzw. gar nicht verbucht worden sind (E. 2.2 in fine); dies muss insbesondere bei einem bargeldintensiven Betrieb wie dem vorliegenden Coiffeursalon gelten. Die ESTV ging somit zu Recht davon aus, dass die Negativsaldi auf dem Kassakonto die materielle Richtigkeit der vorhandenen Buchhaltungsergebnisse in Frage stellen (E. 3.1). Im Weiteren legte die ESTV in ihrem Einspracheentscheid vom 7. August 2006 zutreffend dar, dass die Bruttogewinnmargen in den Jahren 1999 (23%) und 2000 (30%) erheblich von denjenigen der Jahre 2001 und 2002 (beide 39%) abwichen, was ebenfalls auf unverbuchte Umsätze in den beiden ersten Jahren schliessen lässt. Die Verwaltung war unter diesen Umständen dazu berechtigt und verpflichtet, die von der Beschwerdeführerin erzielten Umsätze durch pflichtgemässe Schätzung zu ermitteln (E. 3.2).</w:t>
      </w:r>
    </w:p>
    <w:p>
      <w:r>
        <w:rPr>
          <w:b/>
        </w:rPr>
        <w:t>E. 4.2</w:t>
      </w:r>
    </w:p>
    <w:p>
      <w:r>
        <w:t>Die Beschwerdeführerin legte in ihrer Beschwerde vom 3. September 2006 dar, dass Fehlbuchungen zu den vorliegend in Frage stehenden Minussaldi auf dem Kassakonto führten. Im Einzelnen begründete und belegte sie jeden ausgewiesenen Negativsaldo mit dem entsprechenden Buchungsfehler. Mit einer Ausnahme waren es Fehlbuchungen, die das Kassakonto tangierten (insbesondere "Doppelbuchungen") und nachträglich insoweit falsch storniert wurden, als die Stornobuchung nicht per Datum der ursprünglichen Fehlbuchung vorgenommen wurde, sondern mit einem späteren Datum. Im Weiteren leistete die Beschwerdeführerin in einem Fall eine Zahlung von Fr. 300.-- mit EC-Direkt, verbuchte den Betrag aber fälschlicherweise als Barauslage. Aufgrund der Angaben der Beschwerdeführerin und den eingereichten Buchungsbelegen erachtet das Bundesverwaltungsgericht den Nachweis als erbracht, dass die Minussaldi aufgrund von Buchungsfehlern und nicht infolge unverbuchter Einnahmen resultierten. Im Weiteren sind diese Buchungsfehler bzw. die entsprechenden Verstösse gegen die formellen Buchhaltungsvorschriften nicht derart gravierend, dass sie die materielle Richtigkeit der Buchhaltungsergebnisse in Frage stellen (E. 3.1). Die Beschwerdeführerin legte zudem glaubhaft dar, weshalb die Bruttogewinne bzw. die Bruttogewinnmargen 1999 und 2000 tiefer waren als in den Jahren 2001 und 2002; einerseits sei der tiefere Bruttogewinn mit dem Aufbau des Coiffeur-Geschäftes verbunden gewesen, anderseits habe sie in den ersten Jahren grössere Einkäufe auch für die Folgejahre vorgenommen. Zusammenfassend sind die Voraussetzungen für eine Ermessenseinschätzung nicht (mehr) erfüllt und die Ergebnisse der Buchhaltung sind anzuerkennen.</w:t>
      </w:r>
    </w:p>
    <w:p>
      <w:r>
        <w:rPr>
          <w:b/>
        </w:rPr>
        <w:t>E. 4.3</w:t>
      </w:r>
    </w:p>
    <w:p>
      <w:r>
        <w:t>Die Steuernachforderung auf der Differenz zwischen dem ermessensweise geschätzten bzw. kalkulierten Umsatz und dem verbuchten Umsatz im Betrag von Fr. 2'416.90 (1999) und Fr. 2'253.30 (2000) (vgl. Ziff. 1 der EA Nr. 280'798), d.h. von insgesamt Fr. 4'670.20, ist folglich nicht gerechtfertigt. Entsprechend dem Antrag der ESTV ist deshalb die Beschwerde gutzuheissen.</w:t>
      </w:r>
    </w:p>
    <w:p>
      <w:r>
        <w:rPr>
          <w:b/>
        </w:rPr>
        <w:t>E. 5.1</w:t>
      </w:r>
    </w:p>
    <w:p>
      <w:r>
        <w:t>Gemäss Art. 63 Abs. 1 VwVG sind die Verfahrenskosten in der Regel der unterliegenden Partei aufzuerlegen. Keine Verfahrenskosten werden Vorinstanzen auferlegt (Art. 63 Abs. 2 VwVG). Nach Art. 63 Abs. 3 VwVG dürfen einer obsiegenden Partei die Kosten des Beschwerdeverfahrens auferlegt werden, sofern sie diese durch Verletzung von Verfahrenspflichten verursacht hat. Dies ist insbesondere dann der Fall, wenn der Beschwerdeführer das Beschwerdeverfahren durch Verletzung von Mitwirkungspflichten unnötigerweise verursacht hat, indem er beispielsweise Beweismittel spät eingereicht hat (Urteile des Bundesverwaltungsgerichts A-1418/2006 vom 14. Mai 2008 E. 10.2, A-1527/2006 und A-1528/2006 vom 6. März 2008 E. 6.2, A-1389/2006 vom 21. Januar 2008 E. 7.2, A-1344/2006 vom 11. September 2007 E. 5.1; Entscheide der SRK vom 6. Januar 2006, veröffentlicht in VPB 70.58 E. 6b, vom 12. Dezember 2000, veröffentlicht in VPB 65.85 E. 7b; vgl. Michael Beusch/André Moser/Lorenz Kneubühler, Ausgewählte prozessrechtliche Fragen im Verfahren vor dem Bundesverwaltungsgericht, in: Schweizerisches Zentralblatt für Staats- und Verwaltungsrecht [ZBl] 2008 S. 35).</w:t>
      </w:r>
    </w:p>
    <w:p>
      <w:r>
        <w:rPr>
          <w:b/>
        </w:rPr>
        <w:t>E. 5.2</w:t>
      </w:r>
    </w:p>
    <w:p>
      <w:r>
        <w:t>Indem die Beschwerdeführerin erst im vorliegenden Beschwerdeverfahren detailliert darlegte, dass die beanstandeten Negativsaldi auf dem Kassakonto aufgrund von Buchungsfehlern resultierten, ist ihr eine Pflichtverletzung zum Vorwurf zu machen. Sie hätte die betreffenden Angaben bereits anlässlich der Kontrolle oder aber im Verfahren vor der Vorinstanz vorbringen können. Unter diesen Umständen ist das von ihr vor der SRK bzw. dem Bundesverwaltungsgericht angestrengte Verfahren als von ihr unnötig verursacht zu bezeichnen. Die Beschwerdeführerin wendet dagegen ein, sie habe erst aufgrund des Einspracheentscheides die exakten Daten der vorgeworfenen Minussaldi erfahren, weshalb sie erst mit ihrer Beschwerdeingabe näher Stellung habe nehmen können. In der EA seien die vorgeworfenen Mängel nicht im Detail aufgeführt gewesen. Dieser Einwand der Beschwerdeführerin ist nicht stichhaltig. In der EA Nr. 280'798 führte die ESTV in Ziff. 1 auf, weshalb sie eine kalkulatorische Umsatzermittlung vornehmen musste. Explizit nannte sie als Grund für die Mangelhaftigkeit der Buchhaltung 1999 und 2000: "Minussaldi auf dem Konto Kasse". Diese Angabe ist ausreichend, um sich dagegen zu wehren. Im Weiteren wiederholte die ESTV in ihrem Begleitschreiben zum Entscheid vom 23. Juni 2003, dass die Buchhaltung aufgrund von "Minussaldi auf dem Konto Kasse, obwohl die Einnahmen täglich verbucht worden" seien, mangelhaft sei. Entgegen der Ansicht der Beschwerdeführerin ist es nicht erforderlich, dass die ESTV alle Minussaldi mit Datum aufführt, sind diese doch aus dem Kontoblatt des Kassakontos (vgl. Kontoblatt Nr. 1000) ersichtlich. Ebenso nicht stichhaltig ist das Argument der Beschwerdeführerin, ihre Treuhänderin habe die Angelegenheit anfänglich bagatellisiert und danach ihre Verantwortung nicht wahrgenommen. Beauftragt die Beschwerdeführerin eine Drittperson (Treuhänderin), hat sie für das Verhalten dieser Hilfsperson (nach Art. 101 des Obligationenrechts vom 30. März 1911 [OR, SR 220]) umfassend und wie für ihr eigenes einzustehen. Auch allfälliges fehlerhaftes bzw. schuldhaftes Verhalten der Hilfsperson ist der Beschwerdeführerin anzurechnen (Urteil des Bundesverwaltungsgerichts A-1680/2006 vom 26. November 2007 E. 3.2.1; BGE 114 Ib 67 E. 2c-e mit Hinweisen, 107 Ia 168 E. 2). Die Handlungen bzw. das Unterlassen der Treuhänderin sind der Beschwerdeführerin somit vollumfänglich zuzurechnen. Aus deren Beauftragung kann sie deshalb für das vorliegende Verfahren nichts zu ihren Gunsten ableiten. Die Verfahrenskosten, die auf Fr. 600.-- festgesetzt werden (Art. 4 des Reglements vom 21. Februar 2008 über die Kosten und Entschädigungen vor dem Bundesverwaltungsgericht [VGKE, SR 173.320.2]), sind somit der Beschwerdeführerin aufzuerlegen. Eine Parteientschädigung ist aus denselben Gründen und weil die Beschwerdeführerin im vorliegenden Beschwerdeverfahren ohnehin nicht durch einen Anwalt oder einen anderen berufsmässigen Vertreter vertreten ist, nicht zuzusprechen (Art. 8 und 9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