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A-1630/2021 vom 22. Juni 2022</w:t>
      </w:r>
    </w:p>
    <w:p>
      <w:r>
        <w:t>Bundesverwaltungsgericht, 2022-06-22, FR</w:t>
      </w:r>
    </w:p>
    <w:p>
      <w:r>
        <w:rPr>
          <w:b/>
        </w:rPr>
        <w:t xml:space="preserve">Quelle: </w:t>
      </w:r>
      <w:r>
        <w:t>https://mcp.opencaselaw.ch/entscheid/bvger_A-1630_2021</w:t>
      </w:r>
    </w:p>
    <w:p>
      <w:r>
        <w:t>FR: TAF A-1630/2021 du 22 juin 2022</w:t>
      </w:r>
    </w:p>
    <w:p>
      <w:r>
        <w:t>IT: TAF A-1630/2021 del 22 giugno 2022</w:t>
      </w:r>
    </w:p>
    <w:p>
      <w:pPr>
        <w:pStyle w:val="Heading2"/>
      </w:pPr>
      <w:r>
        <w:t>Regeste</w:t>
      </w:r>
    </w:p>
    <w:p>
      <w:r>
        <w:t>Assistance administrative</w:t>
      </w:r>
    </w:p>
    <w:p>
      <w:pPr>
        <w:pStyle w:val="Heading2"/>
      </w:pPr>
      <w:r>
        <w:t>Erwägungen</w:t>
      </w:r>
    </w:p>
    <w:p>
      <w:r>
        <w:rPr>
          <w:b/>
        </w:rPr>
        <w:t>E. 5.1</w:t>
      </w:r>
    </w:p>
    <w:p>
      <w:r>
        <w:t>Pour ce qui est des conditions de fond, la recourante allègue une violation du principe de la pertinence vraisemblable à plusieurs égards.</w:t>
      </w:r>
    </w:p>
    <w:p>
      <w:r>
        <w:rPr>
          <w:b/>
        </w:rPr>
        <w:t>E. 5.1.1.1</w:t>
      </w:r>
    </w:p>
    <w:p>
      <w:r>
        <w:t>La recourante argue en premier lieu que l'AFC ne pouvait pas se fonder uniquement sur les données statistiques invoquées par la DGFiP à l'appui de sa demande en lien avec les listes de comptes pour établir avec certitude que les comptes sont détenus par des contribuables français en situation d'irrégularité fiscale. Elle aurait au contraire dû procéder à un examen individuel et concret du principe de la pertinence vraisemblable des informations et ne pouvait pas se satisfaire d'une appréciation générale et abstraite fondée exclusivement sur l'ATF 146 II 150.</w:t>
      </w:r>
    </w:p>
    <w:p>
      <w:r>
        <w:rPr>
          <w:b/>
        </w:rPr>
        <w:t>E. 5.1.1.2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violerait le principe de la pertinence vraisemblable. Au vu de tout ce qui précède, le grief invoqué par la recourante doit être rejeté.</w:t>
      </w:r>
    </w:p>
    <w:p>
      <w:r>
        <w:rPr>
          <w:b/>
        </w:rPr>
        <w:t>E. 5.1.2.1</w:t>
      </w:r>
    </w:p>
    <w:p>
      <w:r>
        <w:t>Dans sa réplique du 6 août 2021 et ses observations spontanées du 25 mars 2022, la recourante soutient que la prescription décennale française serait acquise en ce qui concerne le contrôle et le recouvrement de l'impôt pour les années fiscales 2010 et 2011, ce qui impliquerait que la demande d'assistance administrative y relative serait devenue sans objet. A l'appui de son grief, la recourante produit un avis de droit d'un avocat français du 30 juillet 2021. La transmission d'informations concernant les années fiscales 2010 et 2011 serait contraire aux principes de la pertinence vraisemblable et de la proportionnalité, étant donné que ces informations ne seraient pas propres à élucider le but fiscal invoqué à l'appui de la demande d'assistance. La recourante invoque l'arrêt du Tribunal fédéral 2C_703/2019 du 16 novembre 2020, selon lequel l'AFC se devrait d'éclaircir cette question.</w:t>
      </w:r>
    </w:p>
    <w:p>
      <w:r>
        <w:rPr>
          <w:b/>
        </w:rPr>
        <w:t>E. 5.1.2.2</w:t>
      </w:r>
    </w:p>
    <w:p>
      <w:r>
        <w:t>Avant tout il sied de relever qu'en tant qu'expertise privée, l'avis de droit produit par la recourante est constitutif d'une simple allégation de partie, dans la mesure où l'expert privé ne peut pas être considéré comme indépendant et impartial, en raison notamment de sa relation contractuelle avec l'intéressée, contrairement à l'expert judiciaire (cf. arrêt du TF 1C_106/2016 du 9 juin 2016 consid. 2.2.4 et les arrêts cités). La pièce produite est ainsi soumise à la libre appréciation des preuves. La Cour de céans relève ensuite que le grief relatif à la prescription des périodes fiscales 2010 et 2011 soulevé par la recourante concerne la procédure interne menée dans l'Etat requérant. La prescription n'empêche pas la transmission des renseignements requis, même si elle est admise par l'autorité requérante. A fortiori, elle ne fait pas perdre la pertinence vraisemblable lorsque la question est contestée (cf. arrêts du TF 2C_662/2021, 2C_663/2021 du 18 mars 2022 consid. 5.4 à 5.6).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2010 et 2011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2010 et 2011. Il appartient en revanche à la recourante de faire valoir ses moyens procéduraux devant les autorités compétentes de l'Etat requérant.</w:t>
      </w:r>
    </w:p>
    <w:p>
      <w:r>
        <w:rPr>
          <w:b/>
        </w:rPr>
        <w:t>E. 5.1.2.3</w:t>
      </w:r>
    </w:p>
    <w:p>
      <w:r>
        <w:t>Par ailleurs, l'arrêt du TF 2C_703/2019 du 16 novembre 2020 invoqué par la recourante indique que, si la personne visée par la demande d'assistance administrative fait valoir, sur la base d'une motivation étayée, qu'au jour de la demande, le délai pour déposer la déclaration fiscale était encore ouvert pour une des périodes fiscales concernées, l'AFC est tenue d'éclaircir ce point, car en pareille hypothèse, le principe de la subsidiarité ne serait pas respecté (cf. consid. 6.5 à 6.7 de l'arrêt précité). En l'espèce, la situation est différente : la recourante n'a jamais affirmé que le délai pour le dépôt de la déclaration d'impôts aurait été encore ouvert. La solution de cet arrêt n'est donc pas transposable au cas d'espèce.</w:t>
      </w:r>
    </w:p>
    <w:p>
      <w:r>
        <w:rPr>
          <w:b/>
        </w:rPr>
        <w:t>E. 5.1.2.4</w:t>
      </w:r>
    </w:p>
    <w:p>
      <w:r>
        <w:t>Au vu de ces éléments, le Tribunal ne constate pas de violation de la norme de la pertinence vraisemblable en lien avec la prescription décennale française. Le grief de la recourante à cet égard doit être rejeté.</w:t>
      </w:r>
    </w:p>
    <w:p>
      <w:r>
        <w:rPr>
          <w:b/>
        </w:rPr>
        <w:t>E. 5.2.1</w:t>
      </w:r>
    </w:p>
    <w:p>
      <w:r>
        <w:t>La recourante reproche encore à l'autorité inférieure d'accéder à une demande d'assistance basée sur des données obtenues par des actes punissables au regard du droit suisse, en violation du principe de la bonne foi en lien avec l'art. 7 let. c LAAF.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CP.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ss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5.2.4</w:t>
      </w:r>
    </w:p>
    <w:p>
      <w:r>
        <w:t>Quant à l'existence d'un lien de causalité entre les données prétendument volées et la demande d'assistance administrative dont se prévaut la recourante,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5.3.1</w:t>
      </w:r>
    </w:p>
    <w:p>
      <w:r>
        <w:t>La recourante avance encore que le principe de spécialité ne serait pas respecté dans le cas d'espèce. A l'appui de son grief, elle relève en substance qu'il ressort des échanges des 11 juillet 2017 et 2 janvier 2020 entre l'AFC et la DGFiP que cette dernière se réserve expressément le droit d'utiliser les informations transmises dans le cadre de la présente procédure d'assistance administrative contre des personnes tierces. Pour autant qu'il puisse être entré en matière sur ce grief qui ne paraît concerner que les intérêts de personnes non concernées, c'est-à-dire des tiers par rapport à la recourante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Tribunal a déjà eu l'occasion de souligner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 ; entre autres arrêts du TAF A-1031/2021 du 26 octobre 2021 consid. 5.3.2 et A-5455/2020 du 12 mai 2022 consid. 5.3.2), et de constater - à tout le moins de manière implicite - que l'assurance fournie par la DGFiP est suffisante.</w:t>
      </w:r>
    </w:p>
    <w:p>
      <w:r>
        <w:rPr>
          <w:b/>
        </w:rPr>
        <w:t>E. 5.4</w:t>
      </w:r>
    </w:p>
    <w:p>
      <w:r>
        <w:t>La recourante se plaint encore d'une violation de l'art. 20 par. 2 de la Directive n° 2011/16/UE, lequel indique que l'Etat requérant doit demander des informations en utilisant les formulaires types et formats informatiques standards et doit au moins énoncer l'identité de la personne faisant l'objet du contrôle et la finalité fiscale des informations demandées. Or, les informations transmises par l'Allemagne à la France ne rempliraient pas ces conditions dans la mesure où il s'agit de listes comportant uniquement des numéros de comptes bancaires. Le Tribunal de céans rappelle que la demande de la France se fonde sur les données trouvées lors des perquisitions effectuées dans les succursales allemandes de la Banque ordonnées par les autorités pénales (cf. Faits, let. A.b). Le Tribunal fédéral a déjà eu l'occasion de constater que les données en question ont été communiquées à la France selon une procédure légale, en application de la Directive n° 2011/16/UE (cf. arrêts du TF 2C_901/2021 du 25 novembre 2021 consid. 5.1 et 2C_320/2021 du 30 avril 2021 consid. 1.1 et 4.2). La question soulevée par la recourante n'est donc pas pertinente et il convient de rejeter le grief de cette dernière.</w:t>
      </w:r>
    </w:p>
    <w:p>
      <w:r>
        <w:rPr>
          <w:b/>
        </w:rPr>
        <w:t>E. 5.5.1</w:t>
      </w:r>
    </w:p>
    <w:p>
      <w:r>
        <w:t>Enfin, la recourante se plaint de ne pas avoir obtenu une traduction des documents rédigés en langue allemande et anglaise. En substance, elle relève que la présence d'annexes dans ces deux langues serait une source d'incertitude sur le contenu des pièces en question et sur le sens exact à leur donner. Il en découlerait une atteinte aux principes d'exclusivité et d'unité de la procédure.</w:t>
      </w:r>
    </w:p>
    <w:p>
      <w:r>
        <w:rPr>
          <w:b/>
        </w:rPr>
        <w:t>E. 5.5.2</w:t>
      </w:r>
    </w:p>
    <w:p>
      <w:r>
        <w:t>En vertu de l'art. 33a al. 1 PA, la procédure est conduite dans l'une des quatre langues officielles définies à l'art. 70 Cst. ; en règle générale, il s'agit de la langue dans laquelle les parties ont déposé ou déposeraient leurs conclusions. Dans la procédure de recours, la langue est celle de la décision attaquée ; si les parties utilisent une autre langue officielle, celle-ci peut être adoptée (cf. art. 33a al. 2 PA). L'art. 33a al. 3 PA dispose que lorsqu'une partie produit des pièces qui ne sont pas rédigées dans une langue officielle, l'autorité peut, avec l'accord des autres parties, renoncer à en exiger la traduction. Si nécessaire, l'autorité ordonne une traduction (cf. art. 33a al. 4 PA). Ces dispositions laissent à l'autorité chargée de les appliquer une marge d'appréciation importante (cf. Egli in : Waldmann/Weissenberger [éd.], Praxiskommentar Verwaltungsverfah-rensgesetz, 2e éd., 2016, n 11 ss et 25 ad art. 33a et les réf. cit.). La jurisprudence ne reconnaît pas un droit à se faire traduire les pièces du dossier rédigées dans une des langues nationales que la recourante ou son mandataire ne maîtrisent pas ou de manière seulement imparfaite (arrêt du TAF C-697/2010 du 10 janvier 2011 consid. 3). En l'espèce, le Tribunal de céans constate d'emblée que ni la CDI CH-FR ni la LAAF n'obligent l'AFC à utiliser une langue officielle suisse dans ses échanges avec les autorités requérantes ou avec les détenteurs d'informations. L'autorité inférieure se trouvait donc libre d'opter pour l'anglais, pratique courante dans le domaine de l'assistance administrative en matière fiscale. L'AFC n'a en l'occurrence pas jugé utile d'établir une traduction. Or, cette position se justifie d'autant plus que dans le cas d'espèce, l'essentiel du dossier est constitué de pièces rédigées en français, et que de surcroît, la recourante est assistée de deux mandataires professionnels, qui plus est avocats, dont on peut attendre qu'ils maîtrisent de manière suffisante les langues allemande et anglaise. En effet, il convient de noter que les avocats de la recourante, Me Patrick Blaser et Me Vincent Guignet, signalent sur le site web de leur étude qu'ils exercent pour l'un, en français et en anglais, et pour l'autre en français, allemand et anglais. Il est dès lors peu plausible de soutenir, comme Me Patrick Blaser l'a fait, que sa cliente n'aurait pas été en mesure, pour des raisons linguistiques, d'appréhender la portée des documents au dossier parce qu'ils n'auraient pas été traduits en français. Certes, il s'agit ici de compétences linguistiques des mandataires de la recourante et pas des compétences propres de cette dernière. Toutefois, compte tenu de l'importance relative des pièces rédigées en allemand et en anglais pour le sort de la présente cause, l'autorité inférieure pouvait largement admettre que globalement la recourante disposait, grâce aussi aux compétences de ses mandataires, des éléments nécessaires à sa complète détermination et que l'absence de traduction des pièces en question ne l'a pas empêchée de faire valoir ses droits sans entrave. Pour les raisons qui précèdent, le grief de la recourante en lien avec la traduction des annexes rédigés en anglais et en allemand doit être rejeté.</w:t>
      </w:r>
    </w:p>
    <w:p>
      <w:r>
        <w:rPr>
          <w:b/>
        </w:rPr>
        <w:t>E. 6</w:t>
      </w:r>
    </w:p>
    <w:p>
      <w:r>
        <w:t>La recourante sollicite (ci-avant, Faits, let. J) la suspension de la procédure jusqu'à droit connu quant à la procédure intentée par un client de la Banque UBS à l'encontre de cette dernière pour infraction aux services de renseignements économiques et violation du secret bancaire dans le cadre des données bancaires saisies dans la succursale allemande de la Banque, ayant donné lieu à la présente demande d'entraide.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5.3.3), force est de constater que cette requête de suspension doit être rejetée, pour autant qu'elle ne soit pas devenue sans objet. A cet égard, la Cour de céans relève que - compte tenu de l'arrêt du Tribunal pénal fédéral SK.2016.34 du 21 janvier 2019 précité ainsi que l'arrêt du TAF A-1510/2020 du 16 mars 2020 (le recours déposé à l'encontre de cet arrêt a été déclaré irrecevable par le Tribunal fédéral dans l'arrêt du TF 2C_618/2020 du 12 août 2020) - la conclusion de la recourante tendant à la suspension de la procédure jusqu'à droit connu quant à la procédure devant le Tribunal pénal fédéral (ci-avant, Faits, let. J) parait ne plus avoir d'objet. En effet, l'ensemble des éléments invoqués pour justifier la suspension de la procédure se sont produits et les arrêts sont désormais définitifs. Il y a ainsi lieu de rejeter la requête de suspension, dans la mesure où elle a encore un objet.</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