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A-1621/2018 vom 11. Februar 2019</w:t>
      </w:r>
    </w:p>
    <w:p>
      <w:r>
        <w:t>Bundesverwaltungsgericht, 2019-02-11, DE</w:t>
      </w:r>
    </w:p>
    <w:p>
      <w:r>
        <w:rPr>
          <w:b/>
        </w:rPr>
        <w:t xml:space="preserve">Quelle: </w:t>
      </w:r>
      <w:r>
        <w:t>https://mcp.opencaselaw.ch/entscheid/bvger_A-1621_2018</w:t>
      </w:r>
    </w:p>
    <w:p>
      <w:r>
        <w:t>FR: TAF A-1621/2018 du 11 février 2019</w:t>
      </w:r>
    </w:p>
    <w:p>
      <w:r>
        <w:t>IT: TAF A-1621/2018 del 11 febbraio 2019</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(Art. 23 des Elektrizitätsgesetzes vom 24. Juni 1902 [EleG, SR 734.0] und Art. 31 ff. des Verwaltungsgerichtsgesetzes vom 17. Juni 2005 [VGG, SR 173.32]).</w:t>
      </w:r>
    </w:p>
    <w:p>
      <w:r>
        <w:rPr>
          <w:b/>
        </w:rPr>
        <w:t>E. 1.2</w:t>
      </w:r>
    </w:p>
    <w:p>
      <w:r>
        <w:t>Die Beschwerdeführerin ist Adressatin der angefochtenen Verfügung und durch diese auch materiell beschwert. Sie ist damit nach Art. 48 Abs. 1 des Verwaltungsverfahrensgesetzes vom 20. Dezember 1968 (VwVG, SR 172.021) zur Beschwerde berechtigt.</w:t>
      </w:r>
    </w:p>
    <w:p>
      <w:r>
        <w:rPr>
          <w:b/>
        </w:rPr>
        <w:t>E. 1.3</w:t>
      </w:r>
    </w:p>
    <w:p>
      <w:r>
        <w:t>Auf die im Übrigen frist- und formgerecht eingereichte Beschwerde (Art. 50 Abs. 1 und Art. 52 Abs.1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3.1</w:t>
      </w:r>
    </w:p>
    <w:p>
      <w:r>
        <w:t>Gemäss Art. 20 Abs. 1 EleG ist der Betriebsinhaber (Eigentümer, Pächter usw.) für die Beaufsichtigung der elektrischen Anlagen und die Überwachung ihres einwandfreien Zustandes verantwortlich. Der Eigentümer oder der von ihm bezeichnete Vertreter muss auf Verlangen den entsprechenden Sicherheitsnachweis erbringen (Art. 5 Abs. 1 der Verordnung über elektrische Niederspannungsinstallationen vom 7. November 2001 [NIV, SR 734.27]).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überträgt die Netzbetreiberin der Vorinstanz die Durchsetzung der periodischen Kontrolle (Art. 36 Abs. 1 und 3 NIV). Die Vorinstanz ist gemäss Art. 41 NIV berechtigt, für die Kontrolltätigkeit und für Verfügungen nach dieser Verordnung Gebühren zu erheben.</w:t>
      </w:r>
    </w:p>
    <w:p>
      <w:r>
        <w:rPr>
          <w:b/>
        </w:rPr>
        <w:t>E. 3.2</w:t>
      </w:r>
    </w:p>
    <w:p>
      <w:r>
        <w:t>Die formellen Voraussetzungen für die Übergabe der Angelegenheit an die Vorinstanz (Aufforderung und zweimalige Mahnung) sind im vorliegenden Fall erfüllt. Die Beschwerdeführerin stellt die Verpflichtung, als Eigentümerin der Liegenschaft Birkenstrasse 2, 4107 Ettingen, einen Sicherheitsnachweis erbringen zu müssen, nicht grundsätzlich in Frage.</w:t>
      </w:r>
    </w:p>
    <w:p>
      <w:r>
        <w:rPr>
          <w:b/>
        </w:rPr>
        <w:t>E. 3.3</w:t>
      </w:r>
    </w:p>
    <w:p>
      <w:r>
        <w:t>Im Verwaltungsverfahren gilt der Untersuchungsgrundsatz: Die Behörde ermittelt den Sachverhalt von Amtes wegen (Art. 12 VwVG), wobei den Parteien unter Umständen Mitwirkungspflichten obliegen (Art. 13 VwVG; Jérôme Candrian, Introduction à la procédure administrative fédérale, 2013, Rz. 63 S. 44). Eine eigentliche Beweisführungslast trifft die Parteien dagegen - anders als im Zivilprozess - nicht (André Moser/Michael Beusch/Lorenz Kneubühler, Prozessieren vor dem Bundesverwaltungsgericht, 2. Aufl. 2013, Rz. 3.119 und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(Moser/Beusch/Kneubühler, a.a.O., Rz. 3.141). Bleibt ein behaupteter Sachumstand unbewiesen, stellt sich die Frage, wer die Folgen der Beweislosigkeit zu tragen hat. Diesbezüglich gilt auch im Bereich des öffentlichen Rechts in Anlehnung an Art. 8 des Schweizerischen Zivilgesetzbuchs vom 10. Dezember 1907 (ZGB, SR 210) der allgemeine Rechtsgrundsatz, dass diejenige Partei das Vorhandensein einer Tatsache zu beweisen hat, welche aus ihr Rechte ableitet.</w:t>
      </w:r>
    </w:p>
    <w:p>
      <w:r>
        <w:rPr>
          <w:b/>
        </w:rPr>
        <w:t>E. 3.4</w:t>
      </w:r>
    </w:p>
    <w:p>
      <w:r>
        <w:t>Die Beschwerdeführerin bringt sinngemäss vor, sie hätte zu Recht und in guten Treuen davon ausgehen dürfen, dass der von ihr beauftragte Elektriker die Vollzugsmeldung der Mängelbehebung an das unabhängige Kontrollorgan resp. die Netzbetreiberin gesendet habe, weil die am 23. August 2017 ausgeführten Arbeiten als Position auf der Rechnung vom 23. Oktober 2017 ausgewiesen gewesen seien. Nach der Überweisung der Sache an die Vorinstanz habe sie sodann erneut beim ausführenden Elektriker interveniert, wobei dieser ihr bestätigt habe, den Sicherheitsnachweis mit Briefpost vom 30. Januar 2018 an die Netzbetreiberin gesandt zu haben. Damit habe sie die geforderten Termine eingehalten und sei ihrer Pflicht nachgekommen.</w:t>
      </w:r>
    </w:p>
    <w:p>
      <w:r>
        <w:rPr>
          <w:b/>
        </w:rPr>
        <w:t>E. 3.5</w:t>
      </w:r>
    </w:p>
    <w:p>
      <w:r>
        <w:t>Um die angeblich am 30. Januar 2018 ausgeführte Meldung der Mängelbehebung durch das beauftragte Elektrounternehmen zu belegen, vermag die Beschwerdeführerin allerdings weder ein Überweisungsschreiben noch einen Zustellnachweis oder Ähnliches vorzulegen. Vielmehr ist aus den Akten ersichtlich, dass der erbrachte Sicherheitsnachweis der Netzbetreiberin erst am 19. März 2018 (Eingangsstempel der Netzbetreiberin) und somit nach Ablauf der von der Vorinstanz eingeräumten Frist bis 28. Februar 2018 einging. Folglich ist das diesbezügliche Vorbringen der Beschwerdeführerin unbeachtlich. Da sie aus der bestrittenen Tatsache Rechte ableiten wollte, hat sie die Folgen dieser Beweislosigkeit zu tragen. Es ist somit davon auszugehen, dass der Sicherheitsnachweis nicht innert Frist eingegangen ist. Zudem kann sich die Beschwerdeführerin ihrer Verantwortung als Grundeigentümerin sodann auch nicht mit Verweis auf ein Fehlverhalten des mit der Mängelbehebung beauftragten Elektrounternehmens bzw. des mit der Ausstellung des Sicherheitsnachweises beauftragten Kontrollorgans entziehen (vgl. die Urteile des Bundesverwaltungsgerichts A-2825/2014 vom 16. Oktober 2014 E. 4.2 und A-3145/2013 vom 18. September 2013 E. 4.2). Ein solches könnte allenfalls zivilrechtliche Ansprüche der Beschwerdeführerin begründen, ihre öffentlich-rechtliche Verpflichtung, den Sicherheitsnachweis fristgerecht zu erbringen, bleibt davon indes unberührt (vgl. Urteile des BVGer A-4159/2016 vom 21. November 2016 E. 4.2, A-4041/2015 vom 8. März 2016 E. 4.1 m.w.H.).</w:t>
      </w:r>
    </w:p>
    <w:p>
      <w:r>
        <w:rPr>
          <w:b/>
        </w:rPr>
        <w:t>E. 3.6.1</w:t>
      </w:r>
    </w:p>
    <w:p>
      <w:r>
        <w:t>Soweit die Beschwerdeführerin die ihr auferlegte Gebühr von insgesamt Fr. 732.-- bestreitet, ist auch diese dem Grundsatz nach nicht zu beanstanden. Zu prüfen bleibt deren Höhe. Betreffend die Höhe der Gebühr verweist Art. 41 NIV auf Art. 9 und 10 der Verordnung vom 7. Dezember 1992 über das Eidgenössische Starkstrominspektorat (Vo ESTI, SR 734.24). Danach betragen die Gebühren für den Erlass einer Verfügung höchstens Fr. 3'000.-- und sind nach dem tatsächlich entstandenen Aufwand zu bemessen (Art. 9 Abs. 1 Vo ESTI). Innerhalb des von der Vo ESTI vorgegebenen Gebührenrahmens kommt der Vorinstanz ein erheblicher Ermessensspielraum zu (vgl. statt vieler Urteile des Bundesverwaltungsgerichts A-1085/2018 vom 29. Oktober 2018 E. 5).</w:t>
      </w:r>
    </w:p>
    <w:p>
      <w:r>
        <w:rPr>
          <w:b/>
        </w:rPr>
        <w:t>E. 3.6.2</w:t>
      </w:r>
    </w:p>
    <w:p>
      <w:r>
        <w:t>Die der Beschwerdeführerin auferlegte Gebühr von Fr. 700.-- zuzüglich Fr. 32.-- für Auslagen bewegt sich im unteren Bereich der vorgegebenen Bandbreite. Die Vorinstanz hatte bei der Bearbeitung der Angelegenheit einigen Aufwand zu betreiben. So war das von der Netzbetreiberin überwiesene Dossier zu prüfen, eine Nachfrist anzusetzen, die Einhaltung der Frist zu kontrollieren und schliesslich eine anfechtbare Verfügung zu erlassen. In Anbetracht dieses Aufwands erscheint eine Gebühr von insgesamt Fr. 732.-- als angemessen. Die Gebühr ist somit auch der Höhe nach nicht zu beanstanden (vgl. auch die Rechtsprechung des Bundesverwaltungsgerichts Urteile A-2340/2016 vom 30. August 2016 E. 5 m.w.H., A-3145/2013 vom 18. September 2013 E. 4.3, A-735/2013 vom 23. Mai 2013 E. 4 und A-6259/2012 vom 22. April 2013 E. 3.4; ferner Urteil des BGer 2C_1063/2013 vom 2. Juni 2014 E. 4.2).</w:t>
      </w:r>
    </w:p>
    <w:p>
      <w:r>
        <w:rPr>
          <w:b/>
        </w:rPr>
        <w:t>E. 4</w:t>
      </w:r>
    </w:p>
    <w:p>
      <w:r>
        <w:t>Aus den dargelegten Gründen hat die Vorinstanz die angedrohte kostenpflichtige Verfügung vom 5. März 2018 zu Recht erlassen. Die Beschwerde ist abzuweisen.</w:t>
      </w:r>
    </w:p>
    <w:p>
      <w:r>
        <w:rPr>
          <w:b/>
        </w:rPr>
        <w:t>E. 5.1</w:t>
      </w:r>
    </w:p>
    <w:p>
      <w:r>
        <w:t>Bei diesem Ausgang des Verfahrens gilt die Beschwerdeführerin als unterliegend, weshalb sie die Verfahrenskosten zu tragen hat (Art. 63 Abs. 1 VwVG). Diese werden auf Fr. 800.-- festgesetzt (Art. 1 ff. des Reglements vom 21. Februar 2008 über die Kosten und Entschädigungen vor dem Bundesverwaltungsgericht [VGKE, SR 173.320.2]).</w:t>
      </w:r>
    </w:p>
    <w:p>
      <w:r>
        <w:rPr>
          <w:b/>
        </w:rPr>
        <w:t>E. 5.2</w:t>
      </w:r>
    </w:p>
    <w:p>
      <w:r>
        <w:t>Angesichts ihres Unterliegens steht der Beschwerdeführerin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