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A-1606/2006 vom 4. März 2010</w:t>
      </w:r>
    </w:p>
    <w:p>
      <w:r>
        <w:t>Bundesverwaltungsgericht, 2010-03-04, DE</w:t>
      </w:r>
    </w:p>
    <w:p>
      <w:r>
        <w:rPr>
          <w:b/>
        </w:rPr>
        <w:t xml:space="preserve">Quelle: </w:t>
      </w:r>
      <w:r>
        <w:t>https://mcp.opencaselaw.ch/entscheid/bvger_A-1606_2006</w:t>
      </w:r>
    </w:p>
    <w:p>
      <w:r>
        <w:t>FR: TAF A-1606/2006 du 4 mars 2010</w:t>
      </w:r>
    </w:p>
    <w:p>
      <w:r>
        <w:t>IT: TAF A-1606/2006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[aMWSTG, AS 2000 1300], in der Fassung vom 1. Januar 2001,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 GEORG MÜLLER/FELIX UHLMANN, Allgemeines Verwaltungsrecht, 5. Aufl., Zürich/Basel/Genf 2006, Rz. 1758 ff.).</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A-1505/2006 vom 25. September 2008 E. 1.2). Mit dieser Einschränkung ist auf die Beschwerde einzutreten.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1. Quartal 2002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das Selbstveranlagungsprinzip, die Ausbezahlung eines (Vorsteuer-)Überschusses oder gar der Verzugszins etc. dar, so dass vorliegend diesbezüglich noch altes Recht anwendbar ist. Keine Anwendung finden deshalb beispielsweise Art. 71, 77, 87 oder 88 MWSTG, obwohl sie unter dem Titel "Verfahrensrecht für die Inland- und die Bezugsteuer" stehen.</w:t>
      </w:r>
    </w:p>
    <w:p>
      <w:r>
        <w:rPr>
          <w:b/>
        </w:rPr>
        <w:t>E. 2.1</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 des Bundesverwaltungsgerichts A-1444/2006 + A-1445/2006 vom 22. Juli 2008 E. 1.3). Unter den gleichen Voraussetzungen können auch getrennt eingereichte Beschwerden in einem Verfahren vereinigt werden. Ein solches Vorgehen dient der Verfahrensökonomie und liegt im Interesse aller Beteiligten (MOSER/BEUSCH/KNEUBÜHLER, a.a.O., S. 114 f. Rz. 3.17). Die Beschwerdeführerin ersucht in ihrer Beschwerdeschrift um Zusammenlegung des vorliegenden Verfahrens mit demjenigen unter der Verfahrensnummer A-1604/2006. Zur Begründung führt sie an, inhaltlich sei weitestgehend dasselbe Recht betroffen, nämlich die Regelung von Vorsteueransprüchen. Dies ist zwar zutreffend. Indessen ist darauf hinzuweisen, dass dem geltend gemachten Vorsteuerabzug im vorliegenden Verfahren ein Lizenzrechtsvertrag zu Grunde liegt, währenddem im Verfahren A-1604/2006 verschiedene Lieferungen an die Beschwerdeführerin zu beurteilen sind. Ausserdem handelt es sich um zwei verschiedene Unternehmen, welche der Beschwerdeführerin gegenüber als Leistungserbringerinnen auftreten. Eine Zusammenlegung erweist sich unter den gegebenen Umständen nicht als opportun; die beiden Verfahren sind getrennt zu behandeln.</w:t>
      </w:r>
    </w:p>
    <w:p>
      <w:r>
        <w:rPr>
          <w:b/>
        </w:rPr>
        <w:t>E. 2.2.1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2.2.2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allgemeingültigen Erwägungen beschränken sich auf einige wenige Seiten. Im Weitern sind auch hinsichtlich der individuellen Erwägungen wieder augenfällige Übereinstimmungen festzustellen: Mit Ausnahme eines einzigen Verfahrens, bei dem es um die Problematik der seitens der ESTV vorgenommenen Umstellung der Abrechnungsart geht, sind bei den übrigen Verfahren ausschliesslich Vorsteueransprüche zu prüfen. In drei Fällen sind Lieferverträge, bei welchen gleichzeitig oder im Nachhinein Abzahlungsvereinbarungen getroffen worden sind, zu beurteilen. Den übrigen zwei Verfahren, worunter auch das vorliegende fällt, liegen Lizenzrechtsverträge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gleiche Unternehmung als Leistungserbringerin aufgetreten ist. Was die beiden (Erst-)Entscheide betrifft, so ist aus den Akten nicht ersichtlich, ob die betroffenen Personen bzw. Unternehmen überhaupt Einsprache erhoben haben. Unklar ist auch, inwieweit sich in diesen Verfahren andere Rechtsfragen gestellt haben könnten. Die Beschwerdeführerin macht jedenfalls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vertraut ist und sich nicht erst in die Verfahren einarbeiten musste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der Abschreibungsverfügung vom 15. Mai 2006 betreffend die Rechtsverzögerungsbeschwerde festgehalten hat, es handle sich nicht um einen leichten Sachverhalt, reicht jedenfalls nicht dafür aus, dass von einer solchen besonderen Schwierigkeit ausgegangen werden müsste.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im vorliegenden sowie in zwei weiteren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2.3</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nicht auf (BGE 119 V 347 E. 1a; FRITZ GYGI, Bundesverwaltungsrechtspflege, 2. Aufl., Bern 1983, S. 212).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E.1.1.3).</w:t>
      </w:r>
    </w:p>
    <w:p>
      <w:r>
        <w:rPr>
          <w:b/>
        </w:rPr>
        <w:t>E. 2.4</w:t>
      </w:r>
    </w:p>
    <w:p>
      <w:r>
        <w:t>Die Beschwerdeführerin beantragt in prozessualer Hinsicht schliesslich die Einholung einer Amtsauskunft beim Konkursamt ... .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 Rz. 3.144). Das Bundesverwaltungsgericht erachtet den Sachverhalt aufgrund der vorhandenen Akten für genügend geklärt. Überdies ist nicht ersichtlich, was die Amtsauskunft zur Klärung des vorliegenden Falls beitragen könnte, was nicht ohnehin schon aus den Akten hervorgeht. Auf deren Einholung ist folglich in einer vorweggenommenen (antizipierten) Beweiswürdigung zu verzichten.</w:t>
      </w:r>
    </w:p>
    <w:p>
      <w:r>
        <w:rPr>
          <w:b/>
        </w:rPr>
        <w:t>E. 3.1.1</w:t>
      </w:r>
    </w:p>
    <w:p>
      <w:r>
        <w:t>Verwendet die steuerpflichtige Person Gegenstände oder Dienstleistungen für steuerbare Ausgangsleistungen, so kann sie in ihrer Steuerabrechnung u. a. die ihm von anderen Steuerpflichtigen mit den Angaben nach Art. 37 aMWSTG in Rechnung gestellte Steuer für Lieferungen und Dienstleistungen abziehen (Art. 38 Abs. 1 Bst. a und b sowie Abs. 2 aMWSTG).</w:t>
      </w:r>
    </w:p>
    <w:p>
      <w:r>
        <w:rPr>
          <w:b/>
        </w:rPr>
        <w:t>E. 3.1.2</w:t>
      </w:r>
    </w:p>
    <w:p>
      <w:r>
        <w:t>Für einen Vorsteuerabzug ist gemäss Art. 38 Abs. 1 aMWSTG - in Abweichung zur Rechtsprechung des Gerichtshofs der Europäischen Gemeinschaften (EuGH) und etwa des deutschen Rechts (sog. "erfolgloser Unternehmer") - u. a. erforderlich, dass die mit der Vorsteuer belasteten Gegenstände und Dienstleistungen ("Input") für einen geschäftlich begründeten Zweck gemäss Abs. 2 der Bestimmung verwendet werden, namentlich für steuerbare Lieferungen und Dienstleistungen ("Output"; statt vieler: BGE 132 II 353 E. 8.3, 10; Urteile des Bundesverwaltungsgerichts A-1566/2006 vom 11. August 2008 E. 2.2, A-1538/2006 vom 28. Mai 2008 E. 2.2, A-1351/2006 vom 29. Oktober 2007 E. 4.1). Verlangt wird gemäss Rechtsprechung ein "objektiv wirtschaftlicher Zusammenhang zwischen steuerbarer Eingangs- und Ausgangsleistung" (BGE 132 II 353 E. 8.2 f., 10; Urteile des Bundesgerichts 2A.650/2005 vom 16. August 2006 E. 3.4, 2A.175/2002 vom 23. Dezember 2002 E. 5.2 in fine; Urteile des Bundesverwaltungsgerichts A-1394/2006 vom 3. Juni 2008 E. 2.1, A-1357/2006 vom 27. Juni 2007 E. 2.1 mit Hinweisen). Nicht genügend ist nach dem auf das vorliegende Verfahren noch anwendbare aMWSTG (vgl. E. 1.5 hievor) eine lediglich für die Zukunft beabsichtigte Verwendung; das schweizerische Recht knüpft an die tatsächliche Verwendung der Eingangsleistung für steuerbare Umsätze und nicht nur an die Unternehmereigenschaft (Urteil des Bundesgerichts 2A.349/2004 vom 1. Dezember 2004 E. 4.3.2 mit Hinweis auf DANIEL RIEDO, Vom Wesen der Mehrwertsteuer als allgemeine Verbrauchsteuer und von den entsprechenden Wirkungen auf das schweizerische Recht, Bern 1999, S. 257 ff.; Entscheide der SRK vom 14. März 2006, veröffentlicht in VPB 70.79 E. 3c/aa, vom 24. Oktober 2005, veröffentlicht in VPB 70.41 E. 2c/aa; in gleicher Weise auch Urteile des Bundesverwaltungsgerichts A-1538/2006 vom 28. Mai 2008 E. 2.3, A-1376/2006 vom 20. November 2007 E. 5.2, A-1361/2006 vom 19. Februar 2007 E. 5.2; anderer Ansicht ein Teil der Lehre: ALOIS CAMENZIND/NIKLAUS HONAUER/KLAUS A. VALLENDER, Handbuch zum Mehrwertsteuergesetz [MWSTG], Bern 2003, 2. Aufl., Rz. 1395; IVO P. BAUMGARTNER, mwst.com, Kommentar zum Bundesgesetz über die Mehrwertsteuer, Basel 2000, Rz. 44, 46 ff. zu Art. 38, mit Verweisen auf die europäische Rechtsprechung; siehe auch ANNIE ROCHAT PAUCHARD, Création d'une nouvelle entreprise et début d'assujettissement à la TVA, in: Der Schweizer Treuhänder [ST] 2005 S. 927).</w:t>
      </w:r>
    </w:p>
    <w:p>
      <w:r>
        <w:rPr>
          <w:b/>
        </w:rPr>
        <w:t>E. 3.1.3</w:t>
      </w:r>
    </w:p>
    <w:p>
      <w:r>
        <w:t>Werden bezogene Leistungen nicht für einen geschäftlich begründeten Zweck bzw. nicht für einen steuerbaren Ausgangsumsatz verwendet, liegt Endverbrauch beim Steuerpflichtigen vor, welcher nicht zum Vorsteuerabzug berechtigt (BGE 132 II 353 E. 10; Urteile des Bundesverwaltungsgerichts A-1538/2006 vom 28. Mai 2008 E. 2.4, A-3069/2007 vom 29. Januar 2008 E. 2.3; RIEDO, a.a.O., S. 254 f., 260, 283).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Unternehmensspähre"; BGE 132 II 353 E. 8.2; BGE 123 II 307 E. 7a; Urteile des Bundesverwaltungsgerichts A-1575/2006 vom 5. Oktober 2009 E. 2.2.1, A-1595/2006 vom 2. April 2009 E. 2.6.2, A-1479/2006 vom 10. September 2008 E. 2.2.3).</w:t>
      </w:r>
    </w:p>
    <w:p>
      <w:r>
        <w:rPr>
          <w:b/>
        </w:rPr>
        <w:t>E. 3.2</w:t>
      </w:r>
    </w:p>
    <w:p>
      <w:r>
        <w:t>Übersteigen die abziehbaren Vorsteuern die geschuldete Steuer, so wird der Überschuss nach Art. 48 Abs. 1 aMWSTG der steuerpflichtigen Person ausbezahlt. Die Rechtsprechung hat bestätigt, dass Vorsteuerüberhänge zulässig sind (BGE 132 II 353 E. 8.4, Urteil des Bundesgerichts 2C_632/2007 vom 7. April 2008 E. 3; Urteile des Bundesverwaltungsgerichts A-12/2007 vom 28. Januar 2009 E. 2.6.1, A-1538/2006 vom 28. Mai 2008 E. 2.5.1). Ferner hat sich das Bundesgericht mit der Frage auseinandergesetzt, ob der Vorsteuerabzug verweigert werden darf bei einem offensichtlichen Missverhältnis zwischen der Höhe der Vorsteuern und der Höhe der steuerbaren Umsätze. Es hat jedoch festgestellt, dass (unter dem Vorbehalt der Steuerumgehung) auch bei quantitativem Ungleichgewicht zwischen Vorsteuern und Steuern eine Verweigerung des Vorsteuerabzugs nicht gerechtfertigt ist, wenn die bezogenen Leistungen effektiv im Sinne von Art. 38 Abs. 1 und 2 MWSTG für einen geschäftlich begründeten Zweck verwendet werden. Es hat deshalb eine qualitative Prüfung der Frage zu erfolgen, wozu die bezogenen Leistungen verwendet worden sind. Die alleinige Tatsache, dass die Vorsteuern höher sind als die Steuern, lässt noch nicht den Schluss zu, dass die Leistungsbezüge nicht steuerbaren Zwecken dienten (BGE 132 II 353 E. 10).</w:t>
      </w:r>
    </w:p>
    <w:p>
      <w:r>
        <w:rPr>
          <w:b/>
        </w:rPr>
        <w:t>E. 3.3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w:t>
      </w:r>
    </w:p>
    <w:p>
      <w:r>
        <w:t>Im vorliegenden Fall liegt die Vorsteuerabzugsberechtigung im Zusammenhang mit einem zwischen der A._______ AG in Liquidation und der Beschwerdeführerin abgeschlossenen Lizenzrechtsvertrag im Streit. Die ESTV ist zum Schluss gekommen, das im Vertrag enthaltene Geschäftsmodell sei gar nie zum Tragen gekommen. Sowohl die Rechte als auch die Pflichten seien sistiert worden. Zudem habe sich zuvor das Geschäft - laut den Akten - nicht wie geplant entwickelt und die Beschwerdeführerin habe keinerlei Nachweise für die tatsächliche Geschäftstätigkeit aus dem geltend gemachten Lizenzrechtsvertrag erbracht. Es stehe fest, dass sie die Leistung, für deren Bezug sie den Vorsteuerabzug geltend machen wolle, gar nie erhalten habe. Schliesslich seien auch die weiteren Voraussetzungen für den Vorsteuerabzug, die Verwendung der bezogenen Leistung für steuerbare Zwecke und das Vorhandensein einer rechtsgenüglichen Rechnung, nicht erfüllt.</w:t>
      </w:r>
    </w:p>
    <w:p>
      <w:r>
        <w:rPr>
          <w:b/>
        </w:rPr>
        <w:t>E. 4.1</w:t>
      </w:r>
    </w:p>
    <w:p>
      <w:r>
        <w:t>Der fragliche Lizenzrechtsvertrag betreffend "..." datiert vom 28. Januar 2002 und umfasst sowohl Lizenz- als auch Nutzungs- und Bezugsrechte. Gegenstand des Vertrags ist gemäss Ziff. 2 ein multifunktionales Lösungskonzept, welches sich aus folgenden gegenseitig vernetzten Bausteinen zusammensetzt: Herstellung der Wärmepumpen, elektrische Steuerungen, Forschung und Entwicklung, Software, Installation und Instruktion sowie technische Weiterentwicklungen. Die diversen Leistungen werden von verschiedenen Unternehmen zur Verfügung gestellt. Die A._______ AG in Liquidation tritt dabei als Generalunternehmerin auf; sie plant, koordiniert und überwacht das Zusammenspiel der verschiedenen involvierten Unternehmen. Ihr obliegen insbesondere folgende Aufgaben: Auftragskalkulation sowie -koordination, Budget und Planung, Marketing, Homepage / Internet (inkl. Content-Management) und Controlling. Das Lizenzrecht räumt der Beschwerdeführerin das generelle Recht ein, das Lösungskonzept der A._______ AG in Liquidation zu nutzen (Ziff. 2.1 des Vertrags). Unter dem Nutzungsrecht ist gemäss Vertrag das Recht der Beschwerdeführerin zu verstehen, Beratungsleistungen der A._______ AG in Liquidation zu beziehen, im Kundenkontakt einzusetzen und zu verwerten. Die Nutzung umfasst dabei die Bestandteile des unter Ziff. 2 bezeichneten Lösungskonzepts (Ziff. 2.2 des Vertrags). Das Bezugsrecht soll der Beschwerdeführerin das Recht zum Bezug sämtlicher Dienstleistungsprodukte einräumen, welche im Zusammenhang mit dem Lösungskonzept stehen. Die A._______ AG in Liquidation hat dieses ständig weiterzuentwickeln und für eine fortwährende Verbesserung der angebotenen Produkte zu sorgen (Ziff. 2.3 des Vertrags). Die vorgesehene Vertragsdauer beträgt 10 Jahre; als Datum des Inkrafttretens wurde der 1. Januar 2002 vereinbart (Ziff. 4 des Vertrags). Laut Ziff. 5 belaufen sich die Kosten des Vertragsrahmens auf pauschal Fr. 30'000'000.-- exkl. MWST. Dem Vertrag kann allerdings entnommen werden, dass die Beschwerdeführerin während einer Übergangsphase von 12 Monaten (recte: 13 Monaten) keine Zahlung schuldete. Die erste Zahlung wurde ausdrücklich per 1. Februar 2003 vereinbart und hernach jeweils auf jeden ersten eines Monats. Die monatlichen Basiszahlungen variieren von Fr. 25'000.-- im ersten Jahr bis zu Fr. 300'000.-- ab dem sechsten Jahr seit Vertragsschluss (Ziff. 5.1.1 des Vertrags). Für den Fall, dass diese fix vereinbarten Zahlungen weniger als 35% des Bruttogewinns ausmachen, war bis zur vollständigen Amortisation des Kostenrahmens auch ein allfälliger Differenzbetrag geschuldet. Danach sollte die Beschwerdeführerin jeweils 20% der Einnahmen abliefern (Ziff. 5.1.2 und 5.1.4 des Vertrags).</w:t>
      </w:r>
    </w:p>
    <w:p>
      <w:r>
        <w:rPr>
          <w:b/>
        </w:rPr>
        <w:t>E. 4.2</w:t>
      </w:r>
    </w:p>
    <w:p>
      <w:r>
        <w:t>Am 11./13. Dezember 2002 schlossen die Beschwerdeführerin und die A._______ AG in Liquidation im Zusammenhang mit dem Lizenzrechtsvertrag eine Sistierungsvereinbarung ab. Darin wurde seitens der A._______ AG in Liquidation Folgendes festgehalten: "Wir haben (auch) zur Kenntnis genommen, dass durch die vorläufige Weigerung der Vorsteueranerkennung [...] die Vertragswirkungen sich nicht so entfalten, wie Sie es ursprünglich angenommen haben. [...] Damit Sie sich auf das Rechtsmittelverfahren mit der ESTV konzentrieren können und nicht durch die Vertragspflichten mit uns in Probleme geraten (namentlich durch die Amortisation der Vertragssumme, ohne dass Sie dafür die Vorsteuer geltend machen dürfen), erklären wir uns ausnahmsweise damit einverstanden, dass die Wirkungen des Vertrags (Vertragspflichten und Rechte) einstweilen ruhen. Diese Sistierung dauert bis spätestens zum Abschluss des Rechtsmittelverfahrens bei der ESTV. [...] Nach Abschluss des Verfahrens leben die Rechtswirkungen des Vertrags vom 28. September 2001 (recte wohl: 28. Januar 2002) wieder auf".</w:t>
      </w:r>
    </w:p>
    <w:p>
      <w:r>
        <w:rPr>
          <w:b/>
        </w:rPr>
        <w:t>E. 4.3</w:t>
      </w:r>
    </w:p>
    <w:p>
      <w:r>
        <w:t>Im Lizenzrechtsvertrag wird unter Ziff. 5.1.1.1 zur Begründung, weshalb die erste Zahlung seitens der Beschwerdeführerin erst am 1. Februar 2003 geschuldet sei, Folgendes ausgeführt: "Für die Bereitstellung aller Leistungsgrundlagen und die abschliessende Vertriebs- und Verkaufsplanung ist ein Zeitraum von 12 Monaten (recte: 13 Monaten) veranschlagt. Die Frist wird von der A._______ benötigt, um die volle Leistungsbereitschaft herzustellen". Die A._______ AG in Liquidation hat sich zudem vertraglich verpflichtet, das Personal der Beschwerdeführerin auf eigene Kosten nach dem Lösungskonzept zu schulen und weiterzubilden sowie in diesem Zusammenhang in allen Fragen zu beraten (Ziff. 3.1 des Vertrags). Aufgrund der Vertragsausgestaltung wird deutlich, dass das unter E. 4.1 hievor umschriebene Lösungskonzept von der Beschwerdeführerin nicht von Anfang an genutzt werden konnte. Vielmehr waren zuvor umfassende Vorarbeiten der A._______ AG in Liquidation notwendig. Eine Verwendung dieser Leistungen für steuerbare Zwecke war mithin nicht sofort möglich.</w:t>
      </w:r>
    </w:p>
    <w:p>
      <w:r>
        <w:rPr>
          <w:b/>
        </w:rPr>
        <w:t>E. 4.4</w:t>
      </w:r>
    </w:p>
    <w:p>
      <w:r>
        <w:t>Die erwähnte Sistierungsvereinbarung hält explizit fest, dass sämtliche Wirkungen des Vertrags ruhen. Betroffen sind demnach nicht nur die Zahlungs- und übrigen Pflichten der Beschwerdeführerin, die sich aus dem Lizenzrechtsvertrag ergeben, sondern im Besonderen auch ihre Rechte, d.h. die Lizenz-, Nutzungs- und Bezugsrechte. Im Gegenzug sind auch die Pflichten und Rechte der A._______ AG in Liquidation sistiert. Damit wird deutlich, dass es der Beschwerdeführerin seit dem 11. bzw. 13. Dezember 2002 von Vornherein nicht mehr möglich war, steuerbare Umsätze aus dem Lösungskonzept zu erzielen. Doch auch für die Zeit vor Abschluss der Sistierungsvereinbarung, also vom 1. Januar 2002 (Vertragsbeginn, wie er sich aus der Formulierung von Ziff. 4 des Vertrags ergibt) bis 12. Dezember 2002, kann aufgrund der Akten nicht davon ausgegangen werden, dass die angeblichen (Eingangs-)Leistungen aus dem Lösungskonzept in steuerbare Ausgangsleistungen gemündet haben. Wie gesehen gehen die Vertragsparteien selber von einem Zeitraum von 12 Monaten (recte: 13 Monaten) aus für die Bereitstellung aller Leistungsgrundlagen, die Vorarbeiten etc. Gemäss Ziff. 1.2 des Vertrags besteht die Kernkompetenz der A._______ AG in Liquidation in der "Entwicklung und Herstellung von Wärmepumpen und der damit zusammenhängenden Technologie (Software, Systemsteuerung) in Form der Organisation, Planung und Bereitstellung einer Wertschöpfungskette". In der Präambel wird demgegenüber lediglich festgehalten, dass sie solche Wärmepumpsysteme entwickelt und produziert. Nach eigenen Angaben hat die A._______ AG in Liquidation, welche im Dezember 2000 gegründet worden ist, in den Jahren 2001 und 2002 gar keine Arbeitnehmer beschäftigt. Dass sie während dieser Zeit Wärmepumpsysteme selber entwickelt oder gar hergestellt hat, erscheint demnach unwahrscheinlich. Allerdings hat sie - nach unwidersprochen gebliebener Darstellung der ESTV im Einspracheentscheid - in der Zeit vom 1. Juli 2001 bis zur Konkurseröffnung auch keinen einzigen Kauf einer Wärmepumpanlage getätigt. Die Fragen, welche Aufgabe der A._______ AG in Liquidation im Zusammenhang mit den Wärmepumpen genau zukam und wie sie der Beschwerdeführerin überhaupt ein solches System hätte liefern können, kann letztlich offengelassen werden. Die vertraglich umschriebene Funktion der A._______ AG in Liquidation als angebliche Generalunternehmerin bedingt zweifellos hinreichend Arbeitskräfte: Sie hat einerseits das Zusammenspiel der verschiedenen involvierten Unternehmen zu planen, zu koordinieren und zu überwachen und anderseits die Wertschöpfungskette als Lösungskonzept der Beschwerdeführerin mit den geeigneten Mitteln zu Verfügung zu stellen. Zu erinnern ist zudem an ihre Aufgaben im Bereich Auftragskalkulation sowie -koordination, Budget und Planung, Marketing, Homepage / Internet (inkl. Content-Management) und Controlling (vgl. E. 4.1 hievor). Gemäss Ziff. 3.1 des Vertrags ist sie des Weitern verpflichtet, die Systemlösungen (Softwareanpassung und Weiterentwicklung, technische Abstimmungen und Anpassungen) im Einzelfall auszuarbeiten und abzuliefern. Wie sie diesen Pflichten und den für die Umsetzung des Lizenzrechtsvertrags notwendigen Vorarbeiten ohne Arbeitnehmer nachgekommen sein sollte, ist unter den gegebenen Umständen nicht ersichtlich. Demnach konnte sie auch keine Schulung des Personals der Beschwerdeführerin durchführen; eine solche war für die Nutzung des Konzepts jedoch offenbar ebenfalls unabdingbar (vgl. E. 4.3 hievor). Aufgrund der Akten ist im Übrigen auch nicht davon auszugehen, dass die A._______ AG in Liquidation diese Leistungen bei einem Dritten eingekauft hat. Die Beschwerdeführerin wiederum verpflichtete sich zur konzentrierten Akquisition von möglichen Kunden (Ziff. 3.1 des Vertrags). Gemäss Vertrag hätte die A._______ AG in Liquidation halbjährlich einen Akquisitionsplan ausarbeiten und diesen der Beschwerdeführerin vorlegen müssen, erstmals per 31. Juli 2002. Diese sollte sich zur Hälfte an den Kosten der Akquisitionsmassnahmen beteiligen, wobei die A._______ AG in Liquidation die Ausgaben jeweils zusammen mit der Vorlegung des Akquisitionsplans abrechnen sollte (Ziff. 6 des Vertrags). Ausserdem vereinbarten die beiden Vertragsparteien, jährlich zusammen drei Referenzofferten von schweizerischen Heizanlagen-Produzenten einzuholen; erstmals innert sechs Monaten nach Vertragsschluss (Ziff. 3.1 des Vertrags). Weder in den Akten des vorliegenden Verfahrens noch in den Geschäftsunterlagen der Partner Handels AG in Liquidation befindet sich ein Akquisitionsplan oder eine dazugehörige Rechnung oder eine Referenzofferte. Zumindest der Akquisitionsplan per 31. Juli und die erste Referenzofferten hätten jedoch erstellt bzw. eingeholt werden müssen.</w:t>
      </w:r>
    </w:p>
    <w:p>
      <w:r>
        <w:rPr>
          <w:b/>
        </w:rPr>
        <w:t>E. 4.5</w:t>
      </w:r>
    </w:p>
    <w:p>
      <w:r>
        <w:t>Es ist mithin höchst zweifelhaft, ob der Lizenzrechtsvertrag bzw. das darin umschriebene Geschäftsmodell überhaupt umgesetzt worden ist. Die Frage muss indes nicht abschliessend geklärt werden. Nach den vorstehenden Darstellungen erscheint es nämlich, selbst wenn einzelne Leistungen seitens der A._______ AG in Liquidation erbracht worden wären, sehr unwahrscheinlich, dass die Beschwerdeführerin die behauptete geschäftliche Tätigkeit aufnehmen und daraus während der massgeblichen Zeit steuerbare Umsätze erzielen konnte. Im Übrigen ist darauf hinzuweisen, dass die Beschwerdeführerin in der Zeit vom 29. Januar bis 30. September 2002 ohnehin keine Umsätze erwirtschaftet hat. Erst in der Abrechnung für das 4. Quartal 2002 hat sie einen Umsatz von insgesamt Fr. 7'389.-- deklariert. Gemäss Angaben in der Buchhaltung erzielte sie diesen Umsatz aus drei Installationen in der Schweiz sowie einer weiteren im Ausland im Umfang von Fr. 2'596.--. Dass es sich dabei - entgegen der Aktenlage - um steuerbare Ausgangsleistungen aus dem angeblichen Lösungskonzept handelt, hat die Beschwerdeführerin indes bis heute nicht nachgewiesen. Dieser Zusammenhang ist jedoch unabdingbare Voraussetzung für den Vorsteuerabzug; eine lediglich für die Zukunft beabsichtigte Verwendung ist nicht ausreichend (vgl. E. 3.1.2 und E. 3.1.3 hievor).</w:t>
      </w:r>
    </w:p>
    <w:p>
      <w:r>
        <w:rPr>
          <w:b/>
        </w:rPr>
        <w:t>E. 4.6</w:t>
      </w:r>
    </w:p>
    <w:p>
      <w:r>
        <w:t>Nach dem Gesagten wird deutlich, dass die ESTV zu Recht am Vorhandensein von steuerbaren Ausgangsleistungen bzw. an der Verwendung der angeblichen Leistungen für steuerbare Zwecke gezweifelt hat. Es wäre demnach an der Beschwerdeführerin, den Nachweis für das Gegenteil zu erbringen. Dies gelingt ihr gerade nicht; sie vermochte keinerlei Belege vorzulegen, um die angeblichen Ausgangsleistungen nachzuweisen. Daher hat sie die Folgen der Beweislosigkeit zu tragen (vgl. E. 3.3 hievor). Die ESTV hat den geltend gemachten Vorsteuerabzug folglich zu Recht verweigert. Unter den gegebenen Umständen kann offenbleiben, ob das als Rechnung bezeichnete Schreiben der A._______ AG in Liquidation vom 4. Februar 2002 als Rechnung im mehrwertsteuerlichen Sinn zu gelten hätte oder in welchem Zeitpunkt der Anspruch auf den Vorsteuerabzug in einem Fall wie dem vorliegenden grundsätzlich entstehen würde. Ebenso erübrigt sich eine Auseinandersetzung mit den weitreichenden zivilrechtlichen Ausführungen in den Eingaben an das Bundesverwaltungsgericht zum konkreten Lizenzrechtsvertrag oder zum Wesen des Lizenzvertrags an sich.</w:t>
      </w:r>
    </w:p>
    <w:p>
      <w:r>
        <w:rPr>
          <w:b/>
        </w:rPr>
        <w:t>E. 5</w:t>
      </w:r>
    </w:p>
    <w:p>
      <w:r>
        <w:t>Schliesslich vermögen auch die übrigen Vorbringen der Beschwerdeführerin nicht durchzudringen:</w:t>
      </w:r>
    </w:p>
    <w:p>
      <w:r>
        <w:rPr>
          <w:b/>
        </w:rPr>
        <w:t>E. 5.1</w:t>
      </w:r>
    </w:p>
    <w:p>
      <w:r>
        <w:t>Sie ist der Ansicht, die ESTV habe den Anspruch auf rechtliches Gehör verletzt, indem sie ihr nie die Möglichkeit zur Stellungnahme zu inhaltlichen Fragen eingeräumt habe. Eine materielle Auseinandersetzung mit dem Wesen des Lizenzvertrags habe nie stattgefunden.</w:t>
      </w:r>
    </w:p>
    <w:p>
      <w:r>
        <w:rPr>
          <w:b/>
        </w:rPr>
        <w:t>E. 5.1.1</w:t>
      </w:r>
    </w:p>
    <w:p>
      <w:r>
        <w:t>Der Anspruch auf rechtliches Gehör ergibt sich aus Art. 29 Abs. 2 der Bundesverfassung der Schweizerischen Eidgenossenschaft vom 18. April 1999 (BV, SR 101). Er umfasst eine Anzahl verschiedener verfassungsrechtlicher Verfahrensgarantien (vgl. zum Ganzen auch HÄFELIN/MÜLLER/UHLMANN, a.a.O.,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Weitern leitet sich aus dem Grundsatz des rechtlichen Gehörs die Pflicht der Behörden ab, Entscheide zu begründen (BGE 123 I 31 E. 2c; vgl. etwa GEROLD STEINMANN, in: Die schweizerische Bundesverfassung, Kommentar (St. Galler Kommentar), Bernhard Ehrenzeller ... [et al.](Hrsg.), 2. Aufl., Zürich 2008, Rz. 27 zu Art. 29; zum Ganzen auch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vgl. auch LORENZ KNEUBÜHLER, Die Begründungspflicht, Bern 1998, S. 22 ff.).</w:t>
      </w:r>
    </w:p>
    <w:p>
      <w:r>
        <w:rPr>
          <w:b/>
        </w:rPr>
        <w:t>E. 5.1.2</w:t>
      </w:r>
    </w:p>
    <w:p>
      <w:r>
        <w:t>Die Beschwerdeführerin hatte sowohl vor Erlass des Entscheids als auch im Rahmen der Einsprache Gelegenheit zur Stellungnahme. Die ESTV ist der Pflicht zur Anhörung in hinreichender Weise nachgekommen. Sollte die Beschwerdeführerin mit ihrer Rüge eine Verletzung der Begründungspflicht geltend machen, ist ihr Folgendes entgegenzuhalten: Die ESTV hat sich im Einspracheentscheid mit dem konkreten Lizenzrechtsvertrag sowie der ihrer Ansicht nach fehlenden Umsetzung auseinandergesetzt; sie hat ausserdem rechtsgenüglich begründet, weshalb die Voraussetzungen für den Vorsteuerabzug nicht gegeben sind. Auch hat sie die Erkenntnisquellen, auf welche sie sich gestützt hat, offen dargelegt. Die Beschwerdeführerin konnte sich, ebenso wie das Bundesverwaltungsgericht, ein Bild über die Tragweite des Entscheids machen und diesen dadurch auf jeden Fall sachgerecht anfechten; dass das Gericht den Argumenten nicht folgt und den angefochtenen Entscheid stützt, ist nicht relevant. Die Tatsache, dass der Einspracheentscheid nebst den Erwägungen zur Umstellung der Abrechnungsart viele weitere Ausführungen enthält, die allerdings grösstenteils nicht direkt mit dieser Frage in Zusammenhang stehen, vermag ebenfalls nichts daran zu ändern, dass die ESTV ihrer Begründungspflicht hinreichend nachgekommen ist. Die ergänzenden Sachverhaltsabklärungen im Einspracheverfahren waren darüber hinaus ohne Weiteres zulässig: dieses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 Verwaltung nimmt dabei - soweit nötig - weitere, ergänzende Abklärungen vor und überprüft die eigenen Anordnungen aufgrund des vervollständigten Sachverhalts (BGE 125 V 188 E. 1b und c). Sie kann nochmals über die strittigen Punkte entscheiden, bevor allenfalls die Beschwerdeinstanz angerufen wird. Demnach ist ebenso wenig zu beanstanden, dass die ESTV erst im Einspracheentscheid materiell zum Lizenzvertrag Stellung nahm. Im Entscheid vom 9. Dezember 2002 hat sie den Vorsteuerabzug ausschliesslich mit der Begründung, es mangle an einer Rechnung, verneint. Eine inhaltliche Auseinandersetzung mit dem Lizenzrechtsvertrag konnte damals offenbleiben. Unter diesen Umständen erweist sich die Auffassung der Beschwerdeführerin, die ESTV habe den Lizenzvertrag zunächst anerkannt und erst in einem späteren Zeitpunkt "verweigert", offensichtlich als unzutreffend. Die Ergänzung der Begründung im Einspracheentscheid stellt nebenbei erwähnt auch keine reformatio in peius dar (Art. 62 Abs. 2 VwVG). Im Übrigen könnte die Beschwerdeführerin selbst bei Vorliegen einer Verletzung des rechtlichen Gehörs nichts zu ihrem Vorteil ableiten. Eine solche könnte nach der Rechtsprechung als geheilt gelten, da jene im vorliegenden Verfahren vor einer Instanz mit umfassender Kognition (vgl. E. 1.2 hievor) die Möglichkeit hatte, sich zu äussern (BGE 133 I 201 E. 2.2, BGE 127 V 431 E. 3d, BGE 126 V 130 E. 2b; Urteile des Bundesverwaltungsgerichts A-1681/2006 vom 13. März 2008 E. 2.4, A-1737/2006 vom 22. August 2007 E. 2.2, A-1621/2006 vom 6. März 2007 E. 4.2.2).</w:t>
      </w:r>
    </w:p>
    <w:p>
      <w:r>
        <w:rPr>
          <w:b/>
        </w:rPr>
        <w:t>E. 5.2</w:t>
      </w:r>
    </w:p>
    <w:p>
      <w:r>
        <w:t>Die Beschwerdeführerin rügt darüber hinaus ein "unfaires Verhalten" der ESTV, indem diese Fragen, wie sie sich bei der Begehung künftiger Verträge zu verhalten habe, nie beantwortet habe. Wie die Vorinstanz zutreffend in der Vernehmlassung ausführt, besteht ihre Aufgabe nicht in der Instruierung bzw. allgemeinen Beratung von Steuerpflichtigen, sondern bloss in der Überprüfung der gemachten Angaben (vgl. auch Art. 62 Abs. 1 aMWSTG). Die Steuerpflichtigen haben - gestützt auf das Selbstveranlagungsprinzip - selbst und unaufgefordert über ihre Umsätze und Vorsteuern abzurechnen und den geschuldeten Mehrwertsteuerbetrag rechtzeitig an die ESTV abzuliefern (vgl. Art. 46 f. aMWSTG; s.a. Urteil des Bundesgerichts 2A.109/2005 vom 10. März 2006 E. 2.1; Urteil des Bundesverwaltungsgerichts A-6150/2007 vom 26. Februar 2009 E. 2.4).</w:t>
      </w:r>
    </w:p>
    <w:p>
      <w:r>
        <w:rPr>
          <w:b/>
        </w:rPr>
        <w:t>E. 6</w:t>
      </w:r>
    </w:p>
    <w:p>
      <w:r>
        <w:t>Ausgangsgemäss ist die Beschwerde abzuweisen, soweit darauf eingetreten werden kann. Die Kosten für das Beschwerdeverfahren vor der SRK bzw. dem Bundesverwaltungsgericht, welche auf Fr. 7'000.--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