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A-1604/2021 vom 8. September 2022</w:t>
      </w:r>
    </w:p>
    <w:p>
      <w:r>
        <w:t>Bundesverwaltungsgericht, 2022-09-08, FR</w:t>
      </w:r>
    </w:p>
    <w:p>
      <w:r>
        <w:rPr>
          <w:b/>
        </w:rPr>
        <w:t xml:space="preserve">Quelle: </w:t>
      </w:r>
      <w:r>
        <w:t>https://mcp.opencaselaw.ch/entscheid/bvger_A-1604_2021</w:t>
      </w:r>
    </w:p>
    <w:p>
      <w:r>
        <w:t>FR: TAF A-1604/2021 du 8 septembre 2022</w:t>
      </w:r>
    </w:p>
    <w:p>
      <w:r>
        <w:t>IT: TAF A-1604/2021 del 8 settembre 2022</w:t>
      </w:r>
    </w:p>
    <w:p>
      <w:pPr>
        <w:pStyle w:val="Heading2"/>
      </w:pPr>
      <w:r>
        <w:t>Regeste</w:t>
      </w:r>
    </w:p>
    <w:p>
      <w:r>
        <w:t>Assistance administrative</w:t>
      </w:r>
    </w:p>
    <w:p>
      <w:pPr>
        <w:pStyle w:val="Heading2"/>
      </w:pPr>
      <w:r>
        <w:t>Erwägungen</w:t>
      </w:r>
    </w:p>
    <w:p>
      <w:r>
        <w:rPr>
          <w:b/>
        </w:rPr>
        <w:t>E. 6.1.1</w:t>
      </w:r>
    </w:p>
    <w:p>
      <w:r>
        <w:t>Dans un grief que le Tribunal traitera en premier lieu, la recourante se plaint d'une violation de la condition de la pertinence vraisemblable et du principe de la bonne foi en lien avec la question de la prescription. Elle considère qu'un délai de prescription de trois ans s'impose à l'administration fiscale française au titre de l'impôt sur les revenus perçus en 2010, 2011, 2012, 2013 et 2014. Ainsi, elle en déduit que lors de l'envoi le 11 mai 2016 de la demande d'assistance administrative par l'autorité française à l'autorité inférieure, le délai de reprise de l'autorité française au titre des revenus perçus en 2010, 2011 et 2012 avait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la recourante fait valoir que la prescription de dix ans est en tout état de cause à ce jour atteinte pour l'année 2010. Elle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sa réplique, la recourante se réfère à l'arrêt du TAF A-2660/2018 du 11 décembre 2020, selon lequel la question de la prescription fiscale étrangère doit faire l'objet d'un examen dans la procédure d'assistance administrative suisse sous l'angle de la pertinence vraisemblable. Selon elle, aucune information ne peut donc être transmise à l'autorité française concernant l'année 2010. De plus, comme seule l'année 2010 indique un solde sur son compte bancaire, toute forme d'entraide doit être rejetée pour ce motif encore. A titre subsidiaire enfin, la recourante requiert du Tribunal de céans ou de l'AFC d'interpeller l'autorité française au sujet de la prescription et d'obtenir une clarification sur le délai de prescription applicable.</w:t>
      </w:r>
    </w:p>
    <w:p>
      <w:r>
        <w:rPr>
          <w:b/>
        </w:rPr>
        <w:t>E. 6.1.2</w:t>
      </w:r>
    </w:p>
    <w:p>
      <w:r>
        <w:t>En l'espèce, le Tribunal relève que le grief relatif à une éventuelle prescription pour les périodes fiscales 2010, 2011 et 2012 soulevé par la recourante concerne la procédure interne menée dans l'Etat requérant. Le Tribunal fédéral s'est prononcé dans un arrêt du 18 mars 2022 sur la question de la pertinence vraisemblable en lien avec la prescription (cf. consid. 3.3.3 supra).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arrêts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La recourante pourra, le cas échéant, faire valoir ses moyens procéduraux devant les autorités compétentes françaises. On relèvera encore que la recourante ne fait pas valoir qu'elle ne pourra plus soulever la prescription devant les autorités compétentes françaises. Il n'apparaît pas non plus, et la recourante ne l'a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de la recourante sont vraisemblablement pertinentes.</w:t>
      </w:r>
    </w:p>
    <w:p>
      <w:r>
        <w:rPr>
          <w:b/>
        </w:rPr>
        <w:t>E. 6.1.3</w:t>
      </w:r>
    </w:p>
    <w:p>
      <w:r>
        <w:t>La recourante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à la recourante de démontrer que ces éléments seraient faux. Or la recourante n'apporte aucun fait établi et concret propre à renverser la présomption de bonne foi de l'autorité requérante. La recourante se limite à exposer dans son recours que « sur la base des informations en [sa] possession », elle comprend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 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la recourante n'explique pas non plus. Quoi qu'il en soit, en admettant qu'il s'agisse d'un engagement, force serait de constater que ce dernier n'a pas été pris à l'égard de la recourante, mais à l'égard de la Suisse, de telle sorte que la recourante n'est pas légitimée à s'en prévaloir. De toute manière, le Tribunal ne perçoit pas en quoi la phrase précitée aboutirait, comme le soutient la recourante, à « éluder » les engagements internationaux de la France à l'égard de la Suisse ou à « détourner » le traité de son sens et de son but.</w:t>
      </w:r>
    </w:p>
    <w:p>
      <w:r>
        <w:rPr>
          <w:b/>
        </w:rPr>
        <w:t>E. 6.1.4</w:t>
      </w:r>
    </w:p>
    <w:p>
      <w:r>
        <w:t>Au vu de ce qui précède, le Tribunal ne constate aucune violation de la condition de la pertinence vraisemblable et du principe de la bonne foi en lien avec la question de la prescription. Mal fondé, le grief de la recourante doit être rejeté. Il découle par ailleurs de ce qui précède, pour les mêmes motifs que ceux qui sont exposés plus haut, que le grief soulevé par la recourante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6.1.2 supra).</w:t>
      </w:r>
    </w:p>
    <w:p>
      <w:r>
        <w:rPr>
          <w:b/>
        </w:rPr>
        <w:t>E. 6.2.1</w:t>
      </w:r>
    </w:p>
    <w:p>
      <w:r>
        <w:t>Au moyen d'un autre grief, la recourante reproche à l'autorité inférieure d'avoir violé les principes de spécialité et de confidentialité. Elle soutient que l'adjonction « [...] y inclus des personnes tierces dans un contexte fiscal [...] » figurant entre parenthèses à la fin de la lettre de l'autorité française du 2 janvier 2020 adressée à l'AFC est contraire à l'art. 28 par. 2 CDI CH-FR et à l'ATF 146 II 150 consid. 7.2. Selon elle, la phrase précitée vise à autoriser l'autorité française à utiliser les informations litigieuses reçues contre « des personnes tierces ». Le dispositif de la décision attaquée serait par ailleurs contradictoire. Elle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Elle en déduit cependant que selon « la vision de l'AFC et du fisc français », l'art. 28 par. 2 CDI CH-FR, mentionné dans le dispositif de la décision attaquée, autoriserait l'utilisation des renseignements transmis « contre des personnes tierces ». Elle considère ainsi qu'il existe un risque concret de violation du principe de spécialité. Elle se prévaut par ailleurs de son droit à l'autodétermination informationnelle, qui découle des art. 8 de la Convention du 4 novembre 1950 de sauvegarde des droits de l'homme et des libertés fondamentales (CEDH, RS 0.101) et 13 de la Constitution fédérale de la Confédération suisse du 18 avril 1999 (Cst., RS 101), en se référant à l'ATF 146 I 172 consid. 7.2 ; elle soutient à ce sujet que l'autorité française envisagerait un usage des informations bancaires « libre de tout cadre légal et conventionnel ». Elle considère également que les échanges intervenus entre l'autorité française et l'AFC en janvier 2020 ont aggravé le risque d'utilisation non conforme des informations. Elle estime encore que l'AFC perpétue une pratique, celle de l'utilisation des informations transmises à l'étranger contre des tiers (« sekundäre Verwendung »), rejetée par le Tribunal fédéral (elle se réfère à cet égard à l'ATF 147 II 13 et à l'arrêt du TF 2C_780/2018 du 1er février 2021 consid. 3.7.4). A titre subsidiaire enfin, elle a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6.2.2</w:t>
      </w:r>
    </w:p>
    <w:p>
      <w:r>
        <w:t>En l'espèce, le Tribunal constate d'abord que la recourante invoque un grief qui ne concerne que les intérêts de tiers et en aucun cas les siens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2.1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143 II 506 consid. 5.1 ; 139 II 404 consid. 11.1 ; cf. également arrêt du TAF A-1023/2020 du 9 juillet 2021 consid. 5.6). Or, c'est précisément ce que fait la recourante en critiquant l'adjonction qui figure dans la lettre de l'autorité française précitée. En invoquant en l'espèce la violation du principe de spécialité dans sa composante personnelle, la recourante soulève en réalité l'intérêt de tiers à être informés de l'ouverture de la procédure d'assistance administrative, ce qu'elle n'est pas habilitée à faire, raison pour laquelle son grief doit être qualifié d'irrecevable. Cela étant, même si le Tribunal entrait en matière sur ce grief, il devrait être rejeté sur le fond pour les motifs qui suivent.</w:t>
      </w:r>
    </w:p>
    <w:p>
      <w:r>
        <w:rPr>
          <w:b/>
        </w:rPr>
        <w:t>E. 6.2.3</w:t>
      </w:r>
    </w:p>
    <w:p>
      <w:r>
        <w:t>On rappellera au préalable que le Tribunal fédéral a jugé, d'une manière qui lie la Cour de céans,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6.2.4</w:t>
      </w:r>
    </w:p>
    <w:p>
      <w:r>
        <w:t>A l'appui de son recours et de sa réplique, la recourante insiste sur l'adjonction qui figure à la fin de la lettre de l'autorité française du 2 janvier 2020 (« [...] y inclus des personnes tierces dans un contexte fiscal [..] »), qui violerait, selon elle, le principe de spécialité. Elle perd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3.5 supra). L'échange du 2 janvier 2020 n'est dès lors pas déterminant, et il n'y a pas lieu de le révoquer, comme demandé par la recourante, dans la mesure où la décision attaquée du 9 mars 2021 tient compte de manière très claire de la jurisprudence en question. La décision attaquée, sous le titre « Restrictions à l'utilisation des informations » (ch. 13 p. 34),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 la recourante,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les renseignements transmis ne peuvent être utilisés dans l'Etat requérant que dans le cadre de la procédure relative à la/aux personne/s concernée/s »). Au vu de ce qui précède, la recourante ne peut raisonnablement pas prétendre que l'AFC autoriserait l'utilisation des renseignements transmis « contre des personnes tierces ». On rappellera enfin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 146 I 172 consid. 7.1.3 ; arrêt du TAF A-5379/2020 du 2 juin 2022 consid. 5.6.3).</w:t>
      </w:r>
    </w:p>
    <w:p>
      <w:r>
        <w:rPr>
          <w:b/>
        </w:rPr>
        <w:t>E. 6.2.5</w:t>
      </w:r>
    </w:p>
    <w:p>
      <w:r>
        <w:t>Enfin, contrairement à ce que prétend la recourante,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la recourante se réfère porte sur la qualité de partie des tiers non visés par une procédure administrative internationale en matière fiscale, mais dont les noms apparaissent dans la documentation à transmettre. La recourante, en tant que personne concernée, ne se trouve pas dans la situation évoquée dans cet arrêt ; elle a en effet pu participer à tous les stades de la présente procédure, et ainsi bénéficier d'une protection juridique. Le droit à l'autodétermination informationnelle de la recourante a par conséquent été respecté. Au demeurant, et dans la mesure où elle entend invoquer un droit à l'autodétermination informationnelle non pas pour elle-même mais pour des tiers, ce grief devrait être rejeté pour les mêmes motifs que ceux qui sont exposés plus haut, étant encore précisé qu'il est de toute manière douteux que ce grief soit recevable (cf. consid. 6.2.2 supra).</w:t>
      </w:r>
    </w:p>
    <w:p>
      <w:r>
        <w:rPr>
          <w:b/>
        </w:rPr>
        <w:t>E. 6.2.6</w:t>
      </w:r>
    </w:p>
    <w:p>
      <w:r>
        <w:t>Au vu de ce qui précède, la décision attaquée respecte les principes de spécialité et de confidentialité. Mal fondé, le grief invoqué par la recourante doit être rejeté. Il s'ensuit que le grief soulevé par la recourante à titre subsidiaire doit également être rejeté.</w:t>
      </w:r>
    </w:p>
    <w:p>
      <w:r>
        <w:rPr>
          <w:b/>
        </w:rPr>
        <w:t>E. 6.3.1</w:t>
      </w:r>
    </w:p>
    <w:p>
      <w:r>
        <w:t>Au moyen d'un dernier grief, la recourante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Elle soutient en substance qu'il existe un risque avéré de double imposition en raison du prélèvement de l'impôt à la source en Suisse et de l'imposition en France des revenus soumis à l'impôt à la source en Suisse. Elle se réfère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Elle ajoute qu'elle ne se limite pas à invoquer un risque de double imposition, mais qu'elle demande l'application du droit en vigueur pour les années visées par la demande française, respectivement pour l'année 2010. Elle conclut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6.3.2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la recourante, n'a pas à être examiné dans le cadre de la présente procédure d'assistance administrative. Il s'agit en effet d'une question matérielle en ce sens qu'elle relève de la procédure de taxation de la recourante et d'une éventuelle garantie lui permettant d'éviter une double imposition de ses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3.3.3 et 6.1.2).</w:t>
      </w:r>
    </w:p>
    <w:p>
      <w:r>
        <w:rPr>
          <w:b/>
        </w:rPr>
        <w:t>E. 6.3.3</w:t>
      </w:r>
    </w:p>
    <w:p>
      <w:r>
        <w:t>Même si les dispositions de l'aAFisE citées par la recourante dans son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La recourante ne saurait en effet étendre l'objet du litige à l'application d'un Accord, dont les dispositions invoquées ne sont plus en vigueur et dont la recourante envisage une application par analogie. Quand bien même ce grief serait recevable, on ne perçoit pas pour quels motifs il conviendrait d'appliquer les dispositions de l'aAFisE dans le cadre de la présente demande d'assistance administrative basée sur la CDI CH-FR ; la recourante ne l'explique pas. Enfin, si la recourante estime que c'est à tort que des informations n'ont pas été communiquées en vertu des dispositions de l'aAFisE dont elle demande l'application, il lui appartient le cas échéant d'effectuer les démarches qu'elle juge utiles.</w:t>
      </w:r>
    </w:p>
    <w:p>
      <w:r>
        <w:rPr>
          <w:b/>
        </w:rPr>
        <w:t>E. 6.3.4</w:t>
      </w:r>
    </w:p>
    <w:p>
      <w:r>
        <w:t>Pour autant qu'il soit recevable, le grief de la recourante soulevé à titre principal et subsidiaire doit être rejeté.</w:t>
      </w:r>
    </w:p>
    <w:p>
      <w:r>
        <w:rPr>
          <w:b/>
        </w:rPr>
        <w:t>E. 7.1</w:t>
      </w:r>
    </w:p>
    <w:p>
      <w:r>
        <w:t>Vu les considérants qui précèdent, le recours est rejeté dans la mesure de sa recevabilité. La recourante, qui succombe, doit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