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A-1582/2006 vom 25. Januar 2008</w:t>
      </w:r>
    </w:p>
    <w:p>
      <w:r>
        <w:t>Bundesverwaltungsgericht, 2008-01-25, DE</w:t>
      </w:r>
    </w:p>
    <w:p>
      <w:r>
        <w:rPr>
          <w:b/>
        </w:rPr>
        <w:t xml:space="preserve">Quelle: </w:t>
      </w:r>
      <w:r>
        <w:t>https://mcp.opencaselaw.ch/entscheid/bvger_A-1582_2006</w:t>
      </w:r>
    </w:p>
    <w:p>
      <w:r>
        <w:t>FR: TAF A-1582/2006 du 25 janvier 2008</w:t>
      </w:r>
    </w:p>
    <w:p>
      <w:r>
        <w:t>IT: TAF A-1582/2006 del 25 gennaio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In der Eingabe an die SRK bzw. an das Bundesverwaltungsgericht beantragt die Beschwerdeführerin, dass ihr keine Kosten für das Verfahren vor der ESTV auferlegt werden. Aufgrund der übrigen Ausführungen, insbesondere der wiederholten Äusserung, gar keine Einsprache erhoben zu haben, ist indes zu schliessen, dass die Beschwerdeführerin sich gegen den Erlass des Einspracheentscheids bzw. die Eröffnung eines Einspracheverfahrens an sich wendet, da sie dies als unrechtmässig erachtet. Die Beschwerde ist folglich auch unter diesem Gesichtspunkt zu prüfen. Demgegenüber bildet die Frage nach der Zulässigkeit des auf den Abrechnungen angebrachten "generellen bzw. allgemeinen Vorbehalts", der die Beschwerdeführerin vor jeglicher zukünftiger Änderung der Praxis, der Rechtsprechung und der Gesetzgebung schützen soll, bzw. die Frage, ob die ESTV - soweit sie das Nichteinteintreten damit begründet hat - gestützt darauf zu Recht mangels Einhaltung der formellen Voraussetzungen auf die Einsprache nicht eingetreten ist, grundsätzlich nicht Gegenstand der Beschwerde.</w:t>
      </w:r>
    </w:p>
    <w:p>
      <w:r>
        <w:rPr>
          <w:b/>
        </w:rPr>
        <w:t>E. 2.1</w:t>
      </w:r>
    </w:p>
    <w:p>
      <w:r>
        <w:t>Gemäss Art. 64 Abs. 3 MWSTG ist die Einsprache schriftlich bei der ESTV einzureichen; sie hat die Begehren, deren Begründung mit Angabe der Beweismittel sowie die Unterschrift des Einsprechers oder seines Vertreters zu enthalten. Der Vertreter hat sich durch schriftliche Vollmacht auszuweisen. Die Beweismittel sollen in der Einspracheschrift bezeichnet und ihr beigelegt werden. Genügt die Einsprache diesen Anforderungen nicht oder lässt der Antrag oder dessen Begründung die nötige Klarheit vermissen, so räumt die ESTV dem Einsprecher eine kurze Nachfrist zur Verbesserung ein (Art. 64 Abs. 4 MWSTG). Sie verbindet diese Nachfrist mit der Androhung, nach unbenutztem Fristablauf auf Grund der Akten zu entscheiden oder, wenn Antrag, Begründung, Unterschrift oder Vollmacht fehlen, auf die Einsprache nicht einzutreten (Art. 64 Abs. 5 MWSTG).</w:t>
      </w:r>
    </w:p>
    <w:p>
      <w:r>
        <w:rPr>
          <w:b/>
        </w:rPr>
        <w:t>E. 2.2</w:t>
      </w:r>
    </w:p>
    <w:p>
      <w:r>
        <w:t>Das Bundesgesetz über das Verwaltungsverfahren enthält in Art. 52 für das Beschwerdeverfahren eine zu grossen Teilen identische Regelung. Abs. 1 legt die formellen Voraussetzungen einer rechtsgenüglichen Beschwerde fest (Begehren, Begründung mit Angabe der Beweismittel sowie Unterschrift). Gemäss Abs. 2 räumt die Beschwerdeinstanz dem Beschwerdeführer für den Fall, dass die Beschwerde diesen Anforderungen nicht genügt, oder die Begehren oder deren Begründung die nötige Klarheit vermissen und sich die Beschwerde nicht als offensichtlich unzulässig herausstellt, ebenfalls eine kurze Nachfrist zur Verbesserung ein. Abs. 3 schliesslich regelt die Rechtsfolgen, die mit der Nachfrist anzudrohen sind.</w:t>
      </w:r>
    </w:p>
    <w:p>
      <w:r>
        <w:rPr>
          <w:b/>
        </w:rPr>
        <w:t>E. 2.3</w:t>
      </w:r>
    </w:p>
    <w:p>
      <w:r>
        <w:t>Eine Nachfristansetzung nach Art. 52 Abs. 2 VwVG hat gemäss Rechtsprechung grundsätzlich immer dann zu erfolgen, wenn eine Beschwerde den gesetzlichen Anforderungen des Abs. 1 nicht genügt, d. h. namentlich auch dann, wenn die Begehren oder die Begründung vollständig fehlen (BGE 112 Ib 634 E. 2b und c; Entscheid der SRK vom 21. August 1998, veröffentlicht in Verwaltungspraxis der Bundesbehörden [VPB] 63.28 E. 2a/bb). Aus dem Vorgesagten kann indes nicht geschlossen werden, dass an die Beschwerdeschrift überhaupt keine Mindestanforderungen gestellt werden. Damit eine Eingabe überhaupt als - wenn auch unvollständige - Beschwerde im Sinne von Art. 52 VwVG betrachtet werden kann, muss darin mindestens eine individualisierte Person erkenntlich ihren Willen zum Ausdruck bringen, als Beschwerdeführer auftreten zu wollen und die Änderung einer bestimmten, sie betreffenden und mittels Verfügung geschaffenen Rechtslage anzustreben (BGE 117 Ia 126 E. 5c, BGE 112 Ib 634 E. 2b, Urteil des Bundesgerichts vom 13. Oktober 1998, veröffentlicht in Archiv für Schweizerisches Abgaberecht [ASA] 68 S. 434 E. 3b/cc; Entscheide der SRK vom vom 28. März 2003, veröffentlicht in VPB 67.128 E. 2b, vom 21. August 1998, a.a.O., E. 2a/cc, 2006-026 vom 21. März 2006; André Moser, in André Moser/Peter Uebersax, Prozessieren vor eidgenössischen Rekurskommissionen, Basel und Frankfurt a.M. 1998, S. 80 Rz. 2.96). Andernfalls kommt Art. 52 Abs. 2 VwVG betreffend Einräumung einer Nachfrist zur Verbesserung mangels genügendem Ausdruck eines Beschwerdewillens nicht zur Anwendung.</w:t>
      </w:r>
    </w:p>
    <w:p>
      <w:r>
        <w:rPr>
          <w:b/>
        </w:rPr>
        <w:t>E. 2.4</w:t>
      </w:r>
    </w:p>
    <w:p>
      <w:r>
        <w:t>Auch wenn der Wortlaut von Art. 64 Abs. 4 MWSTG mit demjenigen von Art. 52 Abs. 2 VwVG nicht identisch ist und insbesondere die Formulierung "... und stellt sich die Beschwerde nicht als offensichtlich unzulässig heraus" fehlt, gilt das zur rechtswirksamen Eingabe bzw. zum genügenden Ausdrucks des Beschwerdewillens Gesagte auch für das Einspracheverfahren bei der ESTV (Urteil des Bundesgerichts vom 7. Oktober 1988, veröffentlicht in ASA 60 S. 366 E. 2b; Entscheid der SRK vom 4. Januar 1996, veröffentlicht in VPB 61.20 E. 5a).</w:t>
      </w:r>
    </w:p>
    <w:p>
      <w:r>
        <w:rPr>
          <w:b/>
        </w:rPr>
        <w:t>E. 3</w:t>
      </w:r>
    </w:p>
    <w:p>
      <w:r>
        <w:t>Im vorliegenden Fall hat der Vertreter der Beschwerdeführerin der ESTV am 9. Februar 2006, unter Bezugnahme auf den Entscheid vom 10. Januar 2006, welcher der seinerzeit nicht vertretenen Beschwerdeführerin direkt eröffnet wurdet, eine schriftliche Eingabe eingereicht mit dem Betreff: "Entscheid: Verzicht auf Einsprache zum heutigen Zeitpunkt". Des Weitern wird im Schreiben ausgeführt: "Obwohl wir glauben, dass auch ein allgemeiner Vorbehalt gültig sein muss, [...] wie Ihnen bereits mehrmals anhand anderer Kunden erläutert, [...] erheben wir keine Einsprache. Wir wissen inzwischen, dass Sie darauf aufgrund Ihrer Ansicht nicht eintreten, auch bezieht sich unser Vorbehalt ja nicht auf die heutige Situation, sondern auf eine zukünftige. Wir verzichten heute auf eine Einsprache, behalten uns jedoch vor, bei einer Praxis-, Rechtsprechungs- oder Gesetzesänderung auf den allgemeinen Vorbehalt zurückzukommen und allfällige die entsprechenden Forderungen unserer Klienten geltend zu machen, da die Mehrwertsteuer nicht vorbehaltlos bezahlt wurde." Auf die Aufforderung der ESTV vom 7. März 2006, die Eingabe für den Fall, dass am Vorbehalt festgehalten werde, betreffend Rechtsbegehren und Begründung zu verbessern und eine Vollmachtserklärung des Steuerpflichtigen zuzustellen, wobei - unter Beilage einer Rückzugserklärung - auch auf die Möglichkeit des Einspracherückzugs hingewiesen wurde, antwortete der Rechtsvertreter am 8. März 2006 wie folgt: "Dieser Brief hat bei uns ein nicht kleines Erstaunen ausgelöst: In unserem Brief vom 9. Februar 2006 schreiben wir eindeutig, dass wir auf eine Einsprache zum heutigen Zeitpunkt verzichten. Bitte geben Sie uns näheren Aufschluss, wie wir eine Einsprache, welche wir nicht erhoben haben, zurückziehen können."</w:t>
      </w:r>
    </w:p>
    <w:p>
      <w:r>
        <w:rPr>
          <w:b/>
        </w:rPr>
        <w:t>E. 3.1</w:t>
      </w:r>
    </w:p>
    <w:p>
      <w:r>
        <w:t>Die beiden Eingaben an die ESTV erfolgten zwar unbestritten ohne Vorliegen einer schriftlichen Vollmächtserklärung der Beschwerdeführerin. Indes war der Rechtsvertreter, obschon der Entscheid der ESTV vom 10. Januar 2006 nicht ihm, sondern der Beschwerdeführerin direkt eröffnet wurde, über den Erlass und den Inhalt dieses Entscheids offensichtlich orientiert. Es ist deshalb nicht anzunehmen, der Rechtsvertreter hätte die beiden Schreiben nicht mit Kenntnis der Beschwerdeführerin oder deren Einverständnis eingereicht. Dafür spricht auch, dass das Instruktionsschreiben der ESTV vom 7. März 2006 gemäss Akten und nach unwidersprochen gebliebener Aussage in der Vernehmlassung vom 8. Juni 2006 der Beschwerdeführerin ebenfalls zur Kenntnis zugestellt wurde. Wäre die Eingabe vom 9. Februar 2006 ohne ihr Einverständnis erfolgt, hätte sie gewiss auf das erwähnte Instruktionsschreiben reagiert. Es mag zutreffen, dass der formelle Nachweis des Bestehens eines Vertretungsverhältnisses (schriftliche Vollmacht) seitens des Rechtsvertreters nicht eingeholt worden ist, dass hingegen kein Auftrag zur Vertretung bestanden haben soll, ist nicht überzeugend. Soweit die Beschwerdeführerin dies geltend macht, ist sie nicht zu hören.</w:t>
      </w:r>
    </w:p>
    <w:p>
      <w:r>
        <w:rPr>
          <w:b/>
        </w:rPr>
        <w:t>E. 3.2</w:t>
      </w:r>
    </w:p>
    <w:p>
      <w:r>
        <w:t>Betreffend den Nachweis des Vertretungsverhältnisses ergibt sich aus Art. 64 Abs. 3-5 MWSTG, dass die ESTV grundsätzlich berechtigt und verpflichtet ist, eine schriftliche Vollmacht einzufordern bzw. für den Fall, dass diese fehlt, eine Nachfrist anzusetzen, und im Säumnisfall auf die Einsprache nicht einzutreten. Wie gesehen wird hinsichtlich Einräumung einer Nachfrist aber auch im Einspracheverfahren ver-langt, dass in der massgeblichen Eingabe mindestens eine individualisierte Person erkenntlich ihren Willen zum Ausdruck bringt, als Beschwerdeführer auftreten zu wollen und die Änderung einer bestimmten, sie betreffenden und mittels Verfügung geschaffenen Rechtslage anzustreben (E. 2.3 und 2.4 oben stehend). Vorausgesetzt wird folglich ein hinreichender Einsprachewille; ohne einen solchen darf bzw. kann demgegenüber überhaupt kein Einspracheverfahren eingeleitet werden.</w:t>
      </w:r>
    </w:p>
    <w:p>
      <w:r>
        <w:rPr>
          <w:b/>
        </w:rPr>
        <w:t>E. 3.3</w:t>
      </w:r>
    </w:p>
    <w:p>
      <w:r>
        <w:t>Aus der umstrittenen Eingabe vom 9. Februar 2006 geht zwar hervor, dass die Beschwerdeführerin der Ansicht ist, der "generelle bzw. allgemeine Vorbehalt", wie sie ihn auf ihren Abrechnungen angebracht hat, um sie vor allfälligen zukünftigen Gesetzes-, Praxis- oder Rechtsprechungsänderungen zu schützen, sei zulässig. Ferner wies sie auch darauf hin, dass sie sich vorbehalte, bei einer Praxis-, Rechtsprechungs- oder Gesetzesänderung auf den allgemeinen Vorbehalt zurückzukommen und die entsprechende Forderungen geltend zu machen. Dennoch wird aufgrund der Ausführungen deutlich, dass sie ungeachtet dieser Auffassung keine Einsprache gegen den Entscheid vom 10. Januar 2006 erheben wollte bzw. dass diesbezüglich - explizit - kein Einspracheverfahren angestrebt worden ist, da sie befürchtete, die ESTV würde auf eine Einsprache, sofern sie sie denn erheben würde, ohnehin mangels hinreichender Begründung nicht eintreten. In diesem Sinne wird denn auch in der bereits erwähnten Eingabe vom 9. Februar 2006 Folgendes ausgeführt: "Da wir zur Zeit nicht wissen, was in den Köpfen der Mehrwertsteuer-Verwaltung betreffend Praxisänderungen, in den Köpfen der Richter betreffend Rechtsprechungsänderungen und in den Köpfen der Politiker betreffend Gesetzesänderungen vorgeht, können wir zum heutigen Zeitpunkt den Vorbehalt nicht näher umschreiben (wie wir dies bereits in unseren verschiedenen Schreiben [für andere Steuerpflichtige] detailliert erläutert und begründet haben)." Dass der Verzicht auf eine Einsprache den Zusatz "zum heutigen Zeitpunkt" enthielt und ein Zurückkommen auf den angebrachten "allgemeinen bzw. generellen" Vorbehalt vorbehalten wurde, ändert daran nichts. Im Falle eines Rückforderungsgesuchs müsste die ESTV ohnehin prüfen, ob die Voraussetzungen für eine Rückerstattung überhaupt gegeben sind und der angebrachte Vorbehalt den Anforderungen genügt. Allerdings hätte die Beschwerdeführerin die mit ihrem Verzicht verbundenen Folgen zu tragen. In der Rechtsmittelbelehrung des Entscheids vom 10. Januar 2006 wird ausdrücklich darauf hingewiesen, dass eine allfällige Einsprache innert 30 Tagen erhoben werden müsste. Es ist Sache der Beschwerdeführerin bzw. ihres Rechtsvertreters, sich darüber in Kenntnis zu setzen, mit welchen Rechtsfolgen ein Untätigbleiben bzw. ein Nichteinhalten der Frist verbunden ist. Sollte der Verzicht einem allfälligen Rückforderungsgesuch demzufolge von vornherein entgegenstehen, hätte die Beschwerdeführerin dies selber zu verantworten. Jedenfalls könnte sie sich nicht darauf berufen, mit Schreiben vom 9. Februar 2006 zum Ausdruck gebracht zu haben, eine Überprüfung des Entscheids vom 10. Januar 2006 zu beantragen. Ein solches Verhalten müsste als widersprüchlich bzw. missbräuchlich betrachtet werden und wäre nicht zu schützen. Aufgrund der vorstehenden Ausführungen erhellt, dass im vorliegenden Fall aus der Eingabe vom 9. Februar 2006 kein rechtsgenüglicher Einsprachewillen ersichtlich wird. Mangels eines solchen hätte die ESTV demnach kein Einspracheverfahren eröffnen und keinen Einspracheentscheid fällen dürfen. Dementsprechend kann sich auch die Frage nach der Auflage der Verfahrenskosten überhaupt nicht stellen. Unter den gegebenen Umständen kann im Übrigen offenbleiben, ob die ESTV - wie die Beschwerdeführerin in der Eingabe vom 9. Februar 2006 geltend gemacht hat - auf eine allfällige Einsprache nicht eingetreten wäre bzw. ob dies zu Recht geschehen wäre. Dies gilt in gleicher Weise auch für die Frage, ob die Voraussetzungen für den Erlass eines Feststellungsentscheids durch die ESTV überhaupt gegeben waren (siehe Urteil des Bundesverwaltungsgerichts A-1450/2006 vom 24. Januar 2008 E. 3.1.1).</w:t>
      </w:r>
    </w:p>
    <w:p>
      <w:r>
        <w:rPr>
          <w:b/>
        </w:rPr>
        <w:t>E. 4</w:t>
      </w:r>
    </w:p>
    <w:p>
      <w:r>
        <w:t>Nach dem Gesagten ist die Beschwerde gutzuheissen und der angefochtene Einspracheentscheid ersatzlos aufzuheben. Bei diesem Ergebnis sind weder der Beschwerdeführerin noch der ESTV Verfahrenskosten aufzuerlegen (Art. 63 Abs. 1 und 2 VwVG). Die ESTV hat der obsiegenden Beschwerdeführerin eine Parteientschädigung zu entrichten, die auf pauschal Fr. 300.-- festgelegt wird (Art. 64 Abs. 1 und 2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