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A-1578/2021 vom 6. September 2022</w:t>
      </w:r>
    </w:p>
    <w:p>
      <w:r>
        <w:t>Bundesverwaltungsgericht, 2022-09-06, FR</w:t>
      </w:r>
    </w:p>
    <w:p>
      <w:r>
        <w:rPr>
          <w:b/>
        </w:rPr>
        <w:t xml:space="preserve">Quelle: </w:t>
      </w:r>
      <w:r>
        <w:t>https://mcp.opencaselaw.ch/entscheid/bvger_A-1578_2021</w:t>
      </w:r>
    </w:p>
    <w:p>
      <w:r>
        <w:t>FR: TAF A-1578/2021 du 6 septembre 2022</w:t>
      </w:r>
    </w:p>
    <w:p>
      <w:r>
        <w:t>IT: TAF A-1578/2021 del 6 settembre 2022</w:t>
      </w:r>
    </w:p>
    <w:p>
      <w:pPr>
        <w:pStyle w:val="Heading2"/>
      </w:pPr>
      <w:r>
        <w:t>Regeste</w:t>
      </w:r>
    </w:p>
    <w:p>
      <w:r>
        <w:t>Assistance administrative</w:t>
      </w:r>
    </w:p>
    <w:p>
      <w:pPr>
        <w:pStyle w:val="Heading2"/>
      </w:pPr>
      <w:r>
        <w:t>Erwägungen</w:t>
      </w:r>
    </w:p>
    <w:p>
      <w:r>
        <w:rPr>
          <w:b/>
        </w:rPr>
        <w:t>E. 6.1.1</w:t>
      </w:r>
    </w:p>
    <w:p>
      <w:r>
        <w:t>Dans un grief que le Tribunal traitera en premier lieu, la recourante se plaint d'une violation de la condition de la pertinence vraisemblable et du principe de la bonne foi en lien avec la question de la prescription. Elle considère qu'un délai de prescription de trois ans s'impose à l'administration fiscale française au titre de l'impôt sur les revenus perçus en 2010, 2011, 2012, 2013 et 2014. Ainsi, elle en déduit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la recourante fait valoir que la prescription de dix ans est en tout état de cause à ce jour atteinte pour l'année 2010. Elle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la recourante se réfère à l'arrêt du TAF A-2660/2018 du 11 décembre 2020, selon lequel la question de la prescription fiscale étrangère doit faire l'objet d'un examen dans la procédure d'assistance administrative suisse sous l'angle de la pertinence vraisemblable. Selon elle, aucune information ne peut donc être transmise à l'autorité française concernant l'année 2010. De plus, comme seule l'année 2010 indique un solde sur son compte bancaire, toute forme d'entraide doit être rejetée pour ce motif encore. A titre subsidiaire enfin, la recourante requiert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la recourante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La recourante pourra, le cas échéant, faire valoir ses moyens procéduraux devant les autorités compétentes françaises. On relèvera encore que la recourante ne fait pas valoir qu'elle ne pourra plus soulever la prescription devant les autorités compétentes françaises. Il n'apparaît pas non plus, et la recourante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 la recourante sont vraisemblablement pertinentes.</w:t>
      </w:r>
    </w:p>
    <w:p>
      <w:r>
        <w:rPr>
          <w:b/>
        </w:rPr>
        <w:t>E. 6.1.3</w:t>
      </w:r>
    </w:p>
    <w:p>
      <w:r>
        <w:t>La recourante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à la recourante de démontrer que ces éléments seraient faux. Or la recourante n'apporte aucun fait établi et concret propre à renverser la présomption de bonne foi de l'autorité requérante. La recourante se limite à exposer dans son recours que « sur la base des informations en [sa] possession », elle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la recourante n'explique pas non plus. Quoi qu'il en soit, en admettant qu'il s'agisse d'un engagement, force serait de constater que ce dernier n'a pas été pris à l'égard de la recourante, mais à l'égard de la Suisse, de telle sorte que la recourante n'est pas légitimée à s'en prévaloir. De toute manière, le Tribunal ne perçoit pas en quoi la phrase précitée aboutirait, comme le soutient la recourante,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de la recourante doit être rejeté. Il découle par ailleurs de ce qui précède, pour les mêmes motifs que ceux qui sont exposés plus haut, que le grief soulevé par la recourante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la recourante fait valoir que la condition de la pertinence vraisemblable ne serait pas remplie, dès lors qu'elle indique avoir quitté la France pour s'installer à Genève le 31 décembre 2012, puis s'être ensuite domiciliée depuis le 1er octobre 2013 à *** (VS). Elle se réfère à deux attestations de domicile : l'une de l'Office cantonal de la population et des migrations du canton de Genève, l'autre de la Commune de ***. Elle précise par ailleurs que les informations remises par la banque UBS indiquent aussi un domicile en dehors de France. Comme elle a quitté la France au mois de décembre 2012 pour s'établir en Suisse, elle estime qu'elle ne saurait être considérée comme une résidente fiscale visée par la demande d'entraide administrative déposée par l'autorité française à partir de cette date. Elle ajoute qu'elle n'était pas résidente en France pendant une partie de la période sur laquelle porte la demande d'assistance. De son point de vue, elle ne remplit ainsi pas un des critères de la demande qui visait des « résidents fiscaux en France », alors qu'elle n'y a résidé que « pendant une partie de la période visée ». Elle en déduit ainsi qu'elle n'est pas visée par la demande d'assistance et qu'aucune information à son sujet ne peut être envoyée à la France. La demande déposée par la France ne serait pas suffisamment précise pour examiner la condition de la pertinence vraisemblable. A titre subsidiaire, elle demande que seule une partie des informations soient remises à l'autorité française, à l'exclusion des informations relatives à la période pendant laquelle elle n'était pas résidente en France.</w:t>
      </w:r>
    </w:p>
    <w:p>
      <w:r>
        <w:rPr>
          <w:b/>
        </w:rPr>
        <w:t>E. 6.2.2</w:t>
      </w:r>
    </w:p>
    <w:p>
      <w:r>
        <w:t>En l'espèce, le Tribunal relève d'abord que, selon la jurisprudence bien établie du Tribunal fédéral, la détermination de la résidence fiscale de la recourante durant la période visée est une question de fond, qui relève de l'application du droit interne français, et qui n'a pas à être examinée par la Suisse en tant qu'Etat requis dans le cadre d'une procédure d'assistance administrative (cf. consid. 3.8 supra). Même la jurisprudence la plus récente citée dans ce dernier considérant, qui admet que la Suisse vérifie le critère de rattachement illimité à l'impôt sur lequel l'Etat requérant se fonde, si la personne visée est ou a été, comme en l'espèce, assujettie à l'impôt de manière illimitée en Suisse, n'y change rien. Il ne s'agit en effet pas de vérifier matériellement l'existence d'un ou de plusieurs domiciles fiscaux mais uniquement, pour l'autorité requise, de vérifier que le critère de rattachement à l'impôt en France se retrouve dans l'art. 4 CDI CH-FR et que l'imposition en France n'aboutirait donc pas à un résultat « contraire à la Convention » au sens de l'art. 28 par. 1 in fine CDI CH-FR. Pour ce motif déjà, la recourante ne peut pas être suivie lorsqu'elle soutient que son transfert de domicile en Suisse ferait échec à la pertinence vraisemblable des informations requises. Dans la mesure où de toute façon la recourante ne nie pas avoir été domiciliée en France, dès lors qu'elle indique avoir « quitté la France pour s'installer en Suisse à Genève le 31 décembre 2012 » (recours, p. 17), force est de constater que le contrôle auquel pouvait procéder l'autorité requise quant à la plausibilité du critère de rattachement à l'impôt en France ne saurait aboutir qu'à un résultat positif. La recourante insiste en outre sur le fait qu'elle n'aurait pas résidé en France durant une partie de la période visée par la demande d'assistance administrative et en déduit ainsi qu'elle ne serait pas visée par ladite demande. C'est méconnaître la nature de la présente procédure d'assistance administrative dont l'objet, comme cela a déjà été relevé plus haut, n'est pas de déterminer sur le fond la résidence fiscale de la recourante, à plus forte raison dans la mesure où la demande porte sur plusieurs années. Le Tribunal fédéral a déjà précisé, lorsque la demande porte sur plusieurs périodes fiscales, comme en l'occurrence, qu'il n'a « jamais été question d'exiger de l'Etat requérant procédant ainsi qu'il fournisse pour chacune des périodes visées un élément concret de soupçon qui se rattache spécifiquement à chacune de ces périodes » (arrêt du TF 2C_1162/2016 du 4 octobre 2017 consid. 6.4). Une telle exigence n'est pas prévue par la Convention et irait à l'encontre du principe de la confiance qui préside en la matière. On précisera enfin que si la recourante entend se prévaloir du fait qu'elle n'est plus résidente française pour une partie de la période visée par la demande d'assistance administrative, elle pourra toujours faire valoir cet argument dans la procédure au fond devant l'autorité fiscale française. Par voie de conséquence, le Tribunal ne peut que rejeter la demande formulée à titre subsidiaire par la recourante tendant à ne transmettre à l'autorité française qu'une seule partie des informations.</w:t>
      </w:r>
    </w:p>
    <w:p>
      <w:r>
        <w:rPr>
          <w:b/>
        </w:rPr>
        <w:t>E. 6.2.3</w:t>
      </w:r>
    </w:p>
    <w:p>
      <w:r>
        <w:t>Le Tribunal de céans a déjà eu l'occasion de juger que les codes de domicile français figurant sur les listes B et C constituaient des éléments suffisant fondant la pertinence vraisemblable de la demande de liste faite par l'autorité requérante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éléments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invoqué par l'Etat requérant dans le cas d'espèce, à savoir l'existence d'un code de domicile en France, est apparemment plausible et la question de savoir s'il entre en concurrence avec un critère d'assujettissement de l'Etat requis dans lequel la recourante fait valoir avoir été domiciliée fiscalement durant la période sous contrôle n'a pas à être examinée par la Cour de céans.</w:t>
      </w:r>
    </w:p>
    <w:p>
      <w:r>
        <w:rPr>
          <w:b/>
        </w:rPr>
        <w:t>E. 6.3.1</w:t>
      </w:r>
    </w:p>
    <w:p>
      <w:r>
        <w:t>Au moyen d'un troisième grief, la recourante reproche à l'autorité inférieure d'avoir violé les principes de spécialité et de confidentialité. Elle soutient que l'adjonction « [...] y inclus des personnes tierces dans un contexte fiscal [...] » figurant entre parenthèses à la fin de la lettre de l'autorité française du 2 janvier 2020 adressée à l'AFC est contraire à l'art. 28 par. 2 CDI CH-FR et à l'ATF 146 II 150 consid. 7.2. Selon elle, la phrase précitée vise à autoriser l'autorité française à utiliser les informations litigieuses reçues contre « des personnes tierces ». Le dispositif de la décision attaquée serait par ailleurs contradictoire. Elle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Elle en déduit cependant que selon « la vision de l'AFC et du fisc français », l'art. 28 par. 2 CDI CH-FR, mentionné dans le dispositif de la décision attaquée, autoriserait l'utilisation des renseignements transmis « contre des personnes tierces ». Elle considère ainsi qu'il existe un risque concret de violation du principe de spécialité. Elle se prévaut par ailleurs de son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elle soutient à ce sujet que l'autorité française envisagerait un usage des informations bancaires « libre de tout cadre légal et conventionnel ». Elle considère également que les échanges intervenus entre l'autorité française et l'AFC en janvier 2020 ont aggravé le risque d'utilisation non conforme des informations. Elle estime encore que l'AFC perpétue une pratique, celle de l'utilisation des informations transmises à l'étranger contre des tiers (« sekundäre Verwendung »), rejetée par le Tribunal fédéral (elle se réfère à cet égard à l'ATF 147 II 13 et à l'arrêt du TF 2C_780/2018 du 1er février 2021 consid. 3.7.4). A titre subsidiaire enfin, elle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6.3.2</w:t>
      </w:r>
    </w:p>
    <w:p>
      <w:r>
        <w:t>En l'espèce, le Tribunal constate d'abord que la recourante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fait la recourante en critiquant l'adjonction qui figure dans la lettre de l'autorité française précitée. En invoquant en l'espèce la violation du principe de spécialité dans sa composante personnelle, la recourante soulève en réalité l'intérêt de tiers à être informés de l'ouverture de la procédure d'assistance administrative, ce qu'elle n'est pas habilitée à faire, raison pour laquelle son grief doit être qualifié d'irrecevable. Cela étant, même si le Tribunal entrait en matière sur ce grief, il devrait être rejeté sur le fond pour les motifs qui suivent.</w:t>
      </w:r>
    </w:p>
    <w:p>
      <w:r>
        <w:rPr>
          <w:b/>
        </w:rPr>
        <w:t>E. 6.3.3</w:t>
      </w:r>
    </w:p>
    <w:p>
      <w:r>
        <w:t>On rappellera au préalable que le Tribunal fédéral a jugé, d'une manière qui lie la Cour de céans,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6.3.4</w:t>
      </w:r>
    </w:p>
    <w:p>
      <w:r>
        <w:t>A l'appui de son recours et de sa réplique, la recourante insiste sur l'adjonction qui figure à la fin de la lettre de l'autorité française du 2 janvier 2020 (« [...] y inclus des personnes tierces dans un contexte fiscal [..] »), qui violerait, selon elle, le principe de spécialité. Elle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la recourante, dans la mesure où la décision attaquée du 1er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la recourante,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dans le cadre de la procédure relative à la/aux personne/s concernée/s »). Au vu de ce qui précède, la recourante ne peut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6.3.5</w:t>
      </w:r>
    </w:p>
    <w:p>
      <w:r>
        <w:t>Enfin, contrairement à ce que prétend la recourante,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la recourante se réfère porte sur la qualité de partie des tiers non visés par une procédure administrative internationale en matière fiscale, mais dont les noms apparaissent dans la documentation à transmettre. La recourante, en tant que personne concernée, ne se trouve pas dans la situation évoquée dans cet arrêt ; elle a en effet pu participer à tous les stades de la présente procédure, et ainsi bénéficier d'une protection juridique. Le droit à l'autodétermination informationnelle de la recourante a par conséquent été respecté. Au demeurant, et dans la mesure où elle entend invoquer un droit à l'autodétermination informationnelle non pas pour elle-même mais pour des tiers, ce grief devrait être rejeté pour les mêmes motifs que ceux qui sont exposés plus haut, étant encore précisé qu'il est de toute manière douteux que ce grief soit recevable (cf. consid. 6.3.2 supra).</w:t>
      </w:r>
    </w:p>
    <w:p>
      <w:r>
        <w:rPr>
          <w:b/>
        </w:rPr>
        <w:t>E. 6.3.6</w:t>
      </w:r>
    </w:p>
    <w:p>
      <w:r>
        <w:t>Au vu de ce qui précède, la décision attaquée respecte les principes de spécialité et de confidentialité. Mal fondé, le grief invoqué par la recourante doit être rejeté. Il s'ensuit que le grief soulevé par la recourante à titre subsidiaire doit également être rejeté.</w:t>
      </w:r>
    </w:p>
    <w:p>
      <w:r>
        <w:rPr>
          <w:b/>
        </w:rPr>
        <w:t>E. 6.4.1</w:t>
      </w:r>
    </w:p>
    <w:p>
      <w:r>
        <w:t>Au moyen d'un quatrième grief, la recourante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Elle soutient en substance qu'il existe un risque avéré de double imposition en raison du prélèvement de l'impôt à la source en Suisse et de l'imposition en France des revenus soumis à l'impôt à la source en Suisse. Elle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Elle ajoute qu'elle ne se limite pas à invoquer un risque de double imposition, mais qu'elle demande l'application du droit en vigueur pour les années visées par la demande française, respectivement pour l'année 2010. Elle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6.4.2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la recourante, n'a pas à être examiné dans le cadre de la présente procédure d'assistance administrative. Il s'agit en effet d'une question matérielle en ce sens qu'elle relève de la procédure de taxation de la recourante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6.4.3</w:t>
      </w:r>
    </w:p>
    <w:p>
      <w:r>
        <w:t>Même si les dispositions de l'aAFisE citées par la recourante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La recourante ne saurait en effet étendre l'objet du litige à l'application d'un Accord, dont les dispositions invoquées ne sont plus en vigueur et dont la recourante envisage une application par analogie. Quand bien même ce grief serait recevable, on ne perçoit pas pour quels motifs il conviendrait d'appliquer les dispositions de l'aAFisE dans le cadre de la présente demande d'assistance administrative basée sur la CDI CH-FR ; la recourante ne l'explique pas. Enfin, si la recourante estime que c'est à tort que des informations n'ont pas été communiquées en vertu des dispositions de l'aAFisE dont elle demande l'application, il lui appartient le cas échéant d'effectuer les démarches qu'elle juge utiles.</w:t>
      </w:r>
    </w:p>
    <w:p>
      <w:r>
        <w:rPr>
          <w:b/>
        </w:rPr>
        <w:t>E. 6.4.4</w:t>
      </w:r>
    </w:p>
    <w:p>
      <w:r>
        <w:t>Pour autant qu'il soit recevable, le grief de la recourante soulevé à titre principal et subsidiaire doit être rejeté.</w:t>
      </w:r>
    </w:p>
    <w:p>
      <w:r>
        <w:rPr>
          <w:b/>
        </w:rPr>
        <w:t>E. 6.5.1</w:t>
      </w:r>
    </w:p>
    <w:p>
      <w:r>
        <w:t>En dernier lieu, la recourante fait valoir que le solde de son compte bancaire figurant dans l'annexe XML-out est erroné. Elle explique à cet égard que les soldes au 1er janvier 2014 et au 1er janvier 2015 ne tiennent pas compte « d'un crédit lombard de CHF 200'000 qui doit être porté en déduction ». Elle en conclut ainsi que le solde au 1er janvier 2014 devrait être de CHF 138'167.- et celui au 1er janvier 2015 devrait s'élever à CHF 161'240.-. Elle se réfère à cet égard à deux relevés de fortune de la banque UBS : l'un au 31 décembre 2013, l'autre au 31 décembre 2014.</w:t>
      </w:r>
    </w:p>
    <w:p>
      <w:r>
        <w:rPr>
          <w:b/>
        </w:rPr>
        <w:t>E. 6.5.2</w:t>
      </w:r>
    </w:p>
    <w:p>
      <w:r>
        <w:t>De son côté, dans sa réponse du 21 mai 2021, l'AFC indique qu'elle ne saurait remettre en question les informations fournies par la banque détentrice des informations. Elle se réfère aussi aux spécifications techniques annexées à l'ordonnance de production du 10 juin 2016 (cf. annexe 4.2 de l'accès au dossier envoyé en date du 20 juillet 2021) qui précisent que la valeur indiquée sous « Account Balance » correspond à la valeur des actifs bruts détenus sur le compte principal à l'ouverture de la journée, en francs suisses (cf. p. 16 des spécifications techniques concernant la valeur « Account Balance » ; « Vermögensstand per 1. Januar (Bruttovermögenswert, je Tageseröffnungsstand, in CHF) der Hauptstammnummer (AccountRelationships) »). Elle considère ainsi que la question des montants à déduire de ce solde pour déterminer l'assiette d'imposition exacte n'est pas pertinente dans le cadre de la présente procédure. Elle rappelle qu'il incombe aux contribuables visés par une demande d'assistance et qui contestent l'étendue de leur assiette d'imposition de faire valoir leurs arguments et de produire toutes les pièces qui corroborent leur position devant les autorités administratives et judiciaires de cet Etat, ajoutant que ce n'est pas au stade de la demande d'assistance fiscale internationale que la question de l'assiette de l'impôt doit être tranchée. Elle se réfère à cet égard à l'arrêt du TAF A-3482/2018 du 5 août 2019 (consid. 5.5).</w:t>
      </w:r>
    </w:p>
    <w:p>
      <w:r>
        <w:rPr>
          <w:b/>
        </w:rPr>
        <w:t>E. 6.5.3</w:t>
      </w:r>
    </w:p>
    <w:p>
      <w:r>
        <w:t>En l'espèce, le Tribunal ne peut que confirmer les explications apportées par l'AFC. Dès lors que les montants indiqués dans le document XML-out correspondent à la valeur des actifs bruts détenus par la recourante, il n'y a pas lieu de porter en déduction de son compte principal un éventuel crédit lombard ou tout autre prêt. Cette solution paraît en outre cohérente avec le but de l'assistance fiscale internationale qui n'est pas de déterminer directement l'assiette imposable d'un contribuable mais de transmettre des informations - en l'occurrence bancaires - pour permettre à l'Etat requérant de procéder à l'imposition de son contribuable. La recourante aura en effet la possibilité le cas échéant de contester l'étendue de son assiette d'imposition dans le cadre de la procédure devant l'autorité fiscale française. Nul doute que, si tel est bien le cas, elle transmettra de son propre chef les documents permettant d'attester de l'existence d'une dette éventuellement déductible. Le grief invoqué par la recourante doit par conséquent être rejeté.</w:t>
      </w:r>
    </w:p>
    <w:p>
      <w:r>
        <w:rPr>
          <w:b/>
        </w:rPr>
        <w:t>E. 7.1</w:t>
      </w:r>
    </w:p>
    <w:p>
      <w:r>
        <w:t>Vu les considérants qui précèdent, le recours est rejeté dans la mesure de sa recevabilité. La recourante,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