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A-156/2015 vom 25. September 2015</w:t>
      </w:r>
    </w:p>
    <w:p>
      <w:r>
        <w:t>Bundesverwaltungsgericht, 2015-09-25, FR</w:t>
      </w:r>
    </w:p>
    <w:p>
      <w:r>
        <w:rPr>
          <w:b/>
        </w:rPr>
        <w:t xml:space="preserve">Quelle: </w:t>
      </w:r>
      <w:r>
        <w:t>https://mcp.opencaselaw.ch/entscheid/bvger_A-156_2015</w:t>
      </w:r>
    </w:p>
    <w:p>
      <w:r>
        <w:t>FR: TAF A-156/2015 du 25 septembre 2015</w:t>
      </w:r>
    </w:p>
    <w:p>
      <w:r>
        <w:t>IT: TAF A-156/2015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328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du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Il s'agit d'examiner si la norme sur laquelle elle s'appuie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 et réf. cit.).</w:t>
      </w:r>
    </w:p>
    <w:p>
      <w:r>
        <w:rPr>
          <w:b/>
        </w:rPr>
        <w:t>E. 5.2.2.1</w:t>
      </w:r>
    </w:p>
    <w:p>
      <w:r>
        <w:t>Au cas d'espèce,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Ainsi, le législateur fédéral a d'entrée de cause entendu déléguer de manière relativement large la compétence d'édicter des dispositions d'exécution. Il est également intéressant de relever à cet égard que le Rapporteur du Conseil national a également souligné, lors des débats, la nécessité, pour les douaniers en particulier, d'effectuer des rotations géographiques imposées par l'exercice de leur fonction et de disposer, à cet effet, d'une législation applicable en pratique (BO 1999 CN 2096).</w:t>
      </w:r>
    </w:p>
    <w:p>
      <w:r>
        <w:rPr>
          <w:b/>
        </w:rPr>
        <w:t>E. 5.2.2.2</w:t>
      </w:r>
    </w:p>
    <w:p>
      <w:r>
        <w:t>Conformément à l'art. 37 al. 1 LPers, le Conseil fédéral édicte les dispositions d'exécution.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w:t>
      </w:r>
    </w:p>
    <w:p>
      <w:r>
        <w:rPr>
          <w:b/>
        </w:rPr>
        <w:t>E. 5.2.2.3</w:t>
      </w:r>
    </w:p>
    <w:p>
      <w:r>
        <w:t>Le DFF y a donné suite en adoptant l'art. 59 O-OPers, qui constitue le fondement des directives applicables en l'espèce. A cette occasion, le DFF peut préciser et détailler l'art. 21 LPers et, au vu de la délégation expresse figurant dans la loi, il peut poser des règles nouvelles qui restreignent les droit des administrés ou leur imposent des obligations, à condition que ces règles soient conformes au but de la loi (cf. supra, consid. 5.2.1). Dans ce contexte, l'art. 21 al. 1 LPers n'offre cependant pas un blanc-seing aux départements pour régler les rapports juridiques de leurs employés auxquels un logement de service est attribué. D'une part, les employeurs sont tenus de respecter les principes constitutionnels régissant l'ensemble de l'activité de l'Etat (cf. consid. 4.1). Ainsi, le principe de la proportionnalité exige en particulier que le dédommagement fixé par les départements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affirme, ensuite, que les modalités fixées dans les directives du DFF pour estimer le dédommagement de son logement de fonction violent le principe de l'égalité de traitement en retenant un prix au mètre carré identique que le garde-frontière soit attribué à un logement de service dans la Commune (...), dans l'axe de l'aéroport international de Genève, ou dans un quartier résidentiel calme, à (...). La solution auquel l'autorité inférieure est arrivée serait en outre disproportionnée et abusive. Les différentes déductions prévues par les directives n'y changeraient par ailleurs rien. L'autorité inférieure lui oppose que la méthode de calcul est objective et repose sur les données scientifiquement établies par l'Office fédéral de la statistique OFS.</w:t>
      </w:r>
    </w:p>
    <w:p>
      <w:r>
        <w:rPr>
          <w:b/>
        </w:rPr>
        <w:t>E. 6.2</w:t>
      </w:r>
    </w:p>
    <w:p>
      <w:r>
        <w:t>L'occupation d'un logement de fonction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En cela, le droit public diverge du droit du bail.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w:t>
      </w:r>
    </w:p>
    <w:p>
      <w:r>
        <w:t>En l'espèce, le nouveau dédommagement du logement de service du recourant a été établi selon un critère objectif, c'est-à-dire en fonction de sa surface (96.70 m2) et de son prix au mètre carré (150 fr./m2, pour l'agglomération de Genève). Ces critères, posés par les directives du DFF (cf. ch. 3), ont pour but de ne pas créer des différences injustifiées entre les gardes-frontière genevois.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6.3.1</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rappelé que l'inclusion de certaines communes genevoises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Une commune doit par conséquent remplir trois des cinq conditions suivantes pour être intégrée à l'agglomération de Genève (cf. JAAC 65.81 consid. 5a/bb) : lien de continuité de la zone bâtie avec la commune centrale ; forte densité combinée habitants/em­plois ; croissance de la population supérieure à la moyenne ; faible proportion de population agricole ; pendularité dense avec la zone centrale de l'agglomération. Le critère de la continuité de la zone bâtie n'a ainsi pas la portée que lui prête le recourant. Il s'agit seulement de l'un des cinq critères utilisés et il n'est pas contesté en l'espèce que (...) remplit au moins trois des autres critères pour être inclue dans l'agglomération de Genève (cf. Schuler/Joye/Dessemontet, Recense­ment fédéral de la population 2000, Les niveaux géographiques de la Suisse, Office fédéral de la statistique, 2005, p. 103).</w:t>
      </w:r>
    </w:p>
    <w:p>
      <w:r>
        <w:rPr>
          <w:b/>
        </w:rPr>
        <w:t>E. 6.3.2</w:t>
      </w:r>
    </w:p>
    <w:p>
      <w:r>
        <w:t>En outre, le montant du dédommagement fixé en l'espèce par l'autorité inférieure (1'208 fr. 75 [96.70 m2 x 150 fr./m2 / 12], sans supplément/déduction), pour un quatre pièces, entre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68 % de ce montant. Dans ces circonstances, le dédommagement fixé par l'autorité inférieure n'apparaît pas hors de proportion avec la prestation octroyée. Il faut également relever que, par le choix d'une augmentation échelonnée en trois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serait particulièrement isolé. L'autorité inférieure n'a dès lors pas outrepassé son pouvoir d'appréciation en accordant une unique déduction de 5 % (équipement non complet).</w:t>
      </w:r>
    </w:p>
    <w:p>
      <w:r>
        <w:rPr>
          <w:b/>
        </w:rPr>
        <w:t>E. 6.3.3</w:t>
      </w:r>
    </w:p>
    <w:p>
      <w:r>
        <w:t>Il ne paraît enfin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du 1er septembre 2014 [Logements de service et logements locatifs], ch. 1.19 ss).</w:t>
      </w:r>
    </w:p>
    <w:p>
      <w:r>
        <w:rPr>
          <w:b/>
        </w:rPr>
        <w:t>E. 6.4</w:t>
      </w:r>
    </w:p>
    <w:p>
      <w:r>
        <w:t>Les différents griefs du recourant seront par conséquent rejetés.</w:t>
      </w:r>
    </w:p>
    <w:p>
      <w:r>
        <w:rPr>
          <w:b/>
        </w:rPr>
        <w:t>E. 7</w:t>
      </w:r>
    </w:p>
    <w:p>
      <w:r>
        <w:t>Il est enfin constant que, conformément au bulletin d'information du commandement des gardes-frontière du 10 septembre 2014, si l'augmentation du dédommagement excède 150 francs par mois, la mise en oeuvre a lieu en principe en trois étapes : 1ère étape : hausse du dédommagement mensuel jusqu'à 150 francs dès le 1er janvier 2015 ; 2ème étape : nouvelle hausse du dédommagement mensuel jusqu'à 150 francs dès le 1er janvier 2016 ; 3ème étape : hausse du dédommagement mensuel égale au montant résiduel dès le 1er janvier 2017. Il n'est dès lors pas critiquable, au vu du pouvoir d'appréciation de l'autorité inférieure, que celle-ci fasse supporter au recourant la hausse du dédommagement de son logement de service en trois étapes (150 francs au 1er janvier 2015, 150 francs au 1er janvier 2016, puis 28 francs supplémentaires au 1er janvier 2017). Cette répartition apparaît également opportune aux présentes circonstances.</w:t>
      </w:r>
    </w:p>
    <w:p>
      <w:r>
        <w:rPr>
          <w:b/>
        </w:rPr>
        <w:t>E. 8</w:t>
      </w:r>
    </w:p>
    <w:p>
      <w:r>
        <w:t>Au vu des considérants qui précèdent, la décision attaquée est conforme au droit et le recours s'avère mal fondé, ce qui conduit à son rejet.</w:t>
      </w:r>
    </w:p>
    <w:p>
      <w:r>
        <w:rPr>
          <w:b/>
        </w:rPr>
        <w:t>E. 9.1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9.2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