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A-1566/2006 vom 11. August 2008</w:t>
      </w:r>
    </w:p>
    <w:p>
      <w:r>
        <w:t>Bundesverwaltungsgericht, 2008-08-11, DE</w:t>
      </w:r>
    </w:p>
    <w:p>
      <w:r>
        <w:rPr>
          <w:b/>
        </w:rPr>
        <w:t xml:space="preserve">Quelle: </w:t>
      </w:r>
      <w:r>
        <w:t>https://mcp.opencaselaw.ch/entscheid/bvger_A-1566_2006</w:t>
      </w:r>
    </w:p>
    <w:p>
      <w:r>
        <w:t>FR: TAF A-1566/2006 du 11 août 2008</w:t>
      </w:r>
    </w:p>
    <w:p>
      <w:r>
        <w:t>IT: TAF A-1566/2006 del 11 agosto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Ende 2006 bei der SRK hängigen Rechtsmittels und wendet das neue Verfahrensrecht an (Art. 53 Abs. 2 VGG).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Gegenstand des vorliegenden Beschwerdeverfahrens kann jedoch nur sein, was Gegenstand des Einspracheentscheides vom 8. Februar 2006 war oder nach richtiger Gesetzesauslegung hätte sein sollen. Das Anfechtungsobjekt, d.h. der Einspracheentscheid, bildet den Rahmen, welcher den möglichen Umfang des Streitgegenstandes begrenzt (vgl. etwa Entscheid der Eidgenössischen Personalrekurskommission [PRK] vom 28. November 2005, veröffentlicht in Verwaltungspraxis der Bundesbehörden [VPB] 70.52 E. 2). Streitgegenstand in der nachträglichen Verwaltungsrechtspflege ist demzufolge das Rechtsverhältnis, das Gegenstand der angefochtenen Verfügung bildet, soweit es im Streit liegt (Urteil des Bundesgerichts 2C_642/2007 vom 3. März 2008 E. 2.2; Urteile des Bundesverwaltungsgerichts A-1339/2006 vom 6. März 2007 E. 1.4, A-1340/2006 vom 6. März 2007 E. 1.3). Soweit die Beschwerdeführerin somit die Aufhebung des Entscheides der ESTV vom 22. August 2005 beantragt, ist auf die Beschwerde nicht einzutreten, da dieser Entscheid nicht das Anfechtungsobjekt bildet.</w:t>
      </w:r>
    </w:p>
    <w:p>
      <w:r>
        <w:rPr>
          <w:b/>
        </w:rPr>
        <w:t>E. 1.4.1</w:t>
      </w:r>
    </w:p>
    <w:p>
      <w:r>
        <w:t>Vorab ist festzustellen, dass die ESTV mit ihrem Einspracheentscheid vom 8. Februar 2006 den Streitgegenstand im Verhältnis zu ihrem Erstentscheid vom 22. August 2005 ausgedehnt hat. Erkannte sie in letzterem doch (nur) auf eine Steuerschuld von Fr. 6'953.55 zuzüglich Zins im Gegensatz zum Einspracheentscheid, worin sie die Einsprecherin zur Zahlung von Fr. 130'396.70 Mehrwertsteuer zuzüglich Verzugszins verurteilte. Fraglich ist somit, ob diese Ausdehnung zulässig war.</w:t>
      </w:r>
    </w:p>
    <w:p>
      <w:r>
        <w:rPr>
          <w:b/>
        </w:rPr>
        <w:t>E. 1.4.2</w:t>
      </w:r>
    </w:p>
    <w:p>
      <w:r>
        <w:t>Das Einspracheverfahren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jedoch in rechtsgenüglicher Form Gelegenheit zu geben, sich zum Verfahren zu äussern (BGE 132 V 368 E. 6.2, 121 V 155 E. 5b). Es ist deshalb der ESTV zwar verwehrt, Steuerperioden zum Gegenstand des Einspracheverfahrens zu machen, über die sie noch nicht in einem Entscheid befunden hat, denn in diesem Fall würde eine unzulässige Ausdehnung des Streitgegenstandes vorliegen (Entscheide der SRK vom 24. August 1999 [SRK 1998-083] E. 2b und vom 4. Februar 1998 [SRK 051/97] E. 1b). Aufgrund der Besonderheit des Einspracheverfahrens als verwaltungsinternem Verfahren ist es dagegen nach der bundesgerichtlichen Rechtsprechung zulässig, wenn der Verfahrensgegenstand im Einspracheentscheid - im Vergleich zum Erstentscheid - auf andere Steuernachforderungen (innerhalb der gleichen Steuerperioden) ausgedehnt wird (BGE 123 II 385 E. 2, nicht publiziert; Urteil des Bundesverwaltungsgerichts A-1418/2006 vom 14. Mai 2008 E. 3.3). Im Übrigen liegt der Rechtsprechung des Bundesgerichts eine objektmässige und nicht eine aspektmässige Umschreibung des Streitgegenstands zugrunde (Urteile des Bundesgerichts 2C_351/2007 vom 8. Mai 2008 E. 1.3, 2C_642/2007 vom 3. März 2008 E. 2.2). Der Streitgegenstand umfasst immer ein ganzes Rechtsverhältnis und nicht lediglich einen Teilaspekt desselben (BGE 125 V 413 E. 2). Im Bereich der Mehrwertsteuer kann bei einer strittigen Steuerforderung deshalb der Streitgegenstand u.a. sowohl die Steuer auf dem Umsatz wie auch davon abgezogene Vorsteuern umfassen.</w:t>
      </w:r>
    </w:p>
    <w:p>
      <w:r>
        <w:rPr>
          <w:b/>
        </w:rPr>
        <w:t>E. 1.4.3</w:t>
      </w:r>
    </w:p>
    <w:p>
      <w:r>
        <w:t>Im vorliegenden Fall war nach dem Gesagten die von der ESTV im Einspracheentscheid vorgenommene zusätzliche Nachbelastung infolge verweigerter Vorsteuerabzüge im Grundsatze zulässig, da sie die gleichen Steuerperioden betraf wie der Erstentscheid und die ESTV die Beschwerdeführerin zudem vor Erlass des Einspracheentscheides mit Schreiben vom 11. Januar 2006 explizit auf dessen Anpassung aufgrund der fehlenden Vorsteuernachweise aufmerksam machte und ihr Gelegenheit zur Stellungnahme einräumte.</w:t>
      </w:r>
    </w:p>
    <w:p>
      <w:r>
        <w:rPr>
          <w:b/>
        </w:rPr>
        <w:t>E. 2.1</w:t>
      </w:r>
    </w:p>
    <w:p>
      <w:r>
        <w:t>Verwendet der Steuerpflichtige Gegenstände oder Dienstleistungen für einen in Art. 38 Abs. 2 MWSTG genannten geschäftlich begründeten Zweck, so kann er gemäss Art. 38 Abs. 1 Bst. a MWSTG in seiner Steuerabrechnung die ihm von anderen Steuerpflichtigen mit den Angaben nach Art. 37 MWSTG in Rechnung gestellte Steuer für Lieferungen und Dienstleistungen abziehen.</w:t>
      </w:r>
    </w:p>
    <w:p>
      <w:r>
        <w:rPr>
          <w:b/>
        </w:rPr>
        <w:t>E. 2.2</w:t>
      </w:r>
    </w:p>
    <w:p>
      <w:r>
        <w:t>Für den Vorsteuerabzug ist somit unter anderem erforderlich, dass die mit der Vorsteuer belasteten Gegenstände oder Dienstleistungen für einen geschäftlich begründeten Zweck verwendet werden. Für Ausgaben ohne geschäftlichen Charakter besteht kein Vorsteuerabzugsrecht. Art. 38 Abs. 2 MWSTG führt die zulässigen geschäftlichen Zwecke auf, die zum Vorsteuerabzug berechtigen, namentlich die Verwendung der Eingangsleistung für steuerbare Lieferungen und Dienstleistungen. Es bedarf dabei eines objektiven wirtschaftlichen Zusammenhangs zwischen steuerbarer Eingangs- und Ausgangsleistung (BGE 132 II 353 E. 8.2 f., 10; Urteile des Bundesgerichts 2A.650/2005 vom 16. August 2006 E. 3.4, 2A.175/2002 vom 23. Dezember 2002 E. 5.2 in fine; Urteile des Bundesverwaltungsgerichts A-1538/2006 vom 28. Mai 2008 E. 2.2, A-1630/2006 und A-1631/2006 vom 13. Mai 2008 E. 2.2, A-1357/2006 vom 27. Juni 2007 E. 2.1 mit Hinweisen).</w:t>
      </w:r>
    </w:p>
    <w:p>
      <w:r>
        <w:rPr>
          <w:b/>
        </w:rPr>
        <w:t>E. 2.3</w:t>
      </w:r>
    </w:p>
    <w:p>
      <w:r>
        <w:t>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37 Abs. 1 MWSTG; Urteile des Bundesverwaltungsgerichts A-1555/2006 vom 27. Juni 2008 E. 2.4, A-1477/2006 und A-1478/2006 vom 10. März 2008 E. 2.2.1, A-3069/2007 vom 29. Januar 2008 E. 3, A-1524/2006 vom 28. Januar 2008 E. 3, A-1389/2006 vom 21. Januar 2008 E. 4.1).</w:t>
      </w:r>
    </w:p>
    <w:p>
      <w:r>
        <w:rPr>
          <w:b/>
        </w:rPr>
        <w:t>E. 2.4.1</w:t>
      </w:r>
    </w:p>
    <w:p>
      <w:r>
        <w:t>Am 1. Juli 2006 sind Art. 15a und Art. 45a MWSTGV in Kraft getreten. Art. 45a MWSTGV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Betreffend die Rechnungsstellung bestimmt Art. 15a MWSTGV, dass die ESTV auch Rechnungen und Rechnungen ersetzende Dokumente nach Art. 37 Abs. 1 und 3 MWSTG anerkennt,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 (zu diesen neuen Bestimmungen und deren rückwirkenden Anwendung ausführlich: Urteile des Bundesverwaltungsgerichts A-1438/2006 vom 11. Juni 2007 E. 3.3, A-1476/2006 vom 26. April 2007 E. 4.2.3, A-1352/2006 vom 25. April 2007 E. 6, A-1455/2006 vom 25. April 2007 E. 5.4).</w:t>
      </w:r>
    </w:p>
    <w:p>
      <w:r>
        <w:rPr>
          <w:b/>
        </w:rPr>
        <w:t>E. 2.4.2</w:t>
      </w:r>
    </w:p>
    <w:p>
      <w:r>
        <w:t>Art. 15a und 45a 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vom neuen Verordnungsrecht unberührt (statt vieler: Urteile des Bundesverwaltungsgerichts A-1438/2006 vom 11. Juni 2007 E. 3.3, A-1352/2006 vom 25. April 2007 E. 6). So hat das Bundesverwaltungsgericht entschieden, das Vorhandensein einer Rechnung sei eine materiellrechtliche Voraussetzung für den Vorsteuerabzug. Fehle die Rechnung, könne dieser Mangel nicht durch Art. 15a oder 45a MWSTGV geheilt werden (Urteil des Bundesverwaltungsgerichts A-1476/2006 vom 26. April 2007 E. 5.2.2). Vor diesem Hintergrund erhellt, dass die Rechnung auch nach Inkrafttreten der Art. 15a und 45a MWSTGV ihre in mehrwertsteuerlicher Praxis und Lehre entwickelte materiellrechtliche Bedeutung nicht eingebüsst hat (Urteile des Bundesverwaltungsgerichts A-1515/2006 vom 25. Juni 2008 E. 2.5.1, A-1478/2006 vom 10. März 2008 E. 2.2.1, A-1389/2006 vom 21. Januar 2008 E. 4.1, A-1438/2006 vom 11. Juni 2007 E. 3.3).</w:t>
      </w:r>
    </w:p>
    <w:p>
      <w:r>
        <w:rPr>
          <w:b/>
        </w:rPr>
        <w:t>E. 2.5</w:t>
      </w:r>
    </w:p>
    <w:p>
      <w:r>
        <w:t>Über die Steuer wird grundsätzlich nach den vereinbarten Entgelten abgerechnet (Art. 44 Abs. 1 MWSTG). Die ESTV gestattet der steuerpflichtigen Person auf Antrag, über die Steuer nach den vereinnahmten Entgelten abzurechnen, sofern es für die steuerpflichtige Person aus Gründen ihres Rechnungswesens einfacher ist (Art. 44 Abs. 4 MWSTG; Urteile des Bundesverwaltungsgerichts A-1385/2006 vom 3. April 2008 E. 4, A-1530/2006 vom 18. März 2008 E. 2.3). Abhänging von der Abrechnungsart entsteht der Anspruch auf Vorsteuerabzug gemäss Art. 38 Abs. 7 Bst. a MWSTG bei der von anderen steuerpflichtigen Personen überwälzten Steuer: am Ende der Abrechnungsperiode, in welcher die steuerpflichtige Person die Rechnung erhalten hat (Abrechnung nach vereinbarten Entgelten), oder in welcher sie die Rechnung bezahlt hat (Abrechnung nach vereinnahmten Entgelten) (Urteil des Bundesverwaltungsgerichts A-1581/2006 vom 23. Juni 2008 E. 4 und E. 5).</w:t>
      </w:r>
    </w:p>
    <w:p>
      <w:r>
        <w:rPr>
          <w:b/>
        </w:rPr>
        <w:t>E. 2.6</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Bei Beweislosigkeit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Urteile des Bundesverwaltungsgerichts A-1354/2006 vom 24. August 2007 E. 2, A-1429/2006 vom 29. August 2007 E. 2.4; Entscheid der SRK vom 18. November 2002, veröffentlicht in VPB 67.49 E. 3b/bb je mit Hinweisen). Eine vom Steuerpflichtigen zu beweisende steuermindernde Tatsache stellt das Recht zum Vorsteuerabzug dar (Urteil des Bundesgerichts 2A.406/2002 vom 31. März 2004 E. 3.4; Urteil des Bundesverwaltungsgerichts A-1628/2006 vom 21. Dezember 2007 E. 3.3; Entscheid der SRK vom 14. Januar 2005, veröffentlicht in VPB 69.88 E. 3c/bb). Es bleibt dem Steuerpflichtigen dabei aber unbenommen, den entsprechenden Nachweis auch noch im Rahmen des Beschwerdeverfahrens vor dem Bundesverwaltungsgericht zu erbringen (Urteile des Bundesverwaltungsgerichts A-1389/2006 vom 21. Januar 2008 E. 4.2, A-1535/2006 vom 14. März 2007 E. 2.5.4).</w:t>
      </w:r>
    </w:p>
    <w:p>
      <w:r>
        <w:rPr>
          <w:b/>
        </w:rPr>
        <w:t>E. 3.1</w:t>
      </w:r>
    </w:p>
    <w:p>
      <w:r>
        <w:t>Im vorliegenden Fall ist die Vorsteuerabzugsberechtigung der von der Beschwerdeführerin im Beschwerdeverfahren erstmals eingereichten Belege zu prüfen. Die Beschwerdeführerin macht gestützt darauf Vorsteuern in der Höhe von Fr. 114'887.15 geltend. Die ESTV anerkennt in ihrer Vernehmlassung vom 18. Juli 2006 Vorsteuern von Fr. 101'824.02, jedoch nur unter Vorbehalt einer Kontrolle. Dieser Vorbehalt sei notwendig, da die Beschwerdeführerin, die nach vereinnahmten Entgelten abrechne, nicht nachgewiesen habe, ob und wann sie die nachgereichten Rechnungen bezahlt habe. Im Grunde genommen seien die betreffenden Fakturen deshalb nicht geeignet, die geltend gemachten Vorsteuerabzüge zu belegen. Die ESTV sei jedoch im Sinne eines Entgegenkommens dennoch bereit, die nachgereichten Rechnungsbelege zum Vorsteuerabzug zuzulassen. Der ESTV müsse aber vorbehalten bleiben, die Mehrwertsteuerdeklaration der vorliegenden Abrechnungsperioden auch nach Abschluss dieses Verfahrens kontrollieren und korrigieren zu können, um sicherzustellen, dass die bisher nach vereinnahmten Entgelten abrechnende Beschwerdeführerin Vorsteuerbetreffnisse nicht doppelt (im Zeitpunkt der Rechnungsstellung und der Begleichung der Eingangsrechnung) berücksichtigt habe. Im Folgenden behandelt das Bundesverwaltungsgericht in E. 3.2 die Vorsteuerabzüge, die von der ESTV (unter Vorbehalt einer Kontrolle) akzeptiert wurden und in E. 3.3 diejenigen, die nach Ansicht der ESTV zu verweigern sind.</w:t>
      </w:r>
    </w:p>
    <w:p>
      <w:r>
        <w:rPr>
          <w:b/>
        </w:rPr>
        <w:t>E. 3.2</w:t>
      </w:r>
    </w:p>
    <w:p>
      <w:r>
        <w:t>Das Bundesverwaltungsgericht hat die von der ESTV akzeptierten Vorsteuerbelege in der Höhe von Fr. 101'824.02.-- (vgl. Aufstellung der ESTV, amtl. Akten Nr. 35) überprüft und kommt ebenfalls zum Schluss, dass diese grundsätzlich zum Vorsteuerabzug berechtigen, sofern die Beschwerdeführerin - die nach (unbestrittenen) Angaben der ESTV nach vereinnahmten Entgelten abrechnet - die betreffenden Fakturen auch im 1. bis 3. Quartal 2004 bezahlt hat. Der entsprechende Nachweis dafür obliegt der Beschwerdeführerin (vgl. E. 2.6). Diesen hat sie jedoch bis heute nicht erbracht. Dem Vorschlag der ESTV, die mehrwertsteuerkonformen Rechnungen dennoch zum Vorsteuerabzug zuzulassen, unter Vorbehalt einer nachträglichen Kontrolle, kann aus Gründen der Prozessökonomie stattgegeben werden (vgl. BGE 133 I 201 E. 2.2, 123 II 16 E. 2c; Urteil des Bundesverwaltungsgerichts A-1763/2006 vom 17. Juni 2007 E. 1.2.3). Der Vorbehalt der Kontrolle ist hier aufgrund der Beweislastverteilung absolut gerechtfertigt und muss auch im Dispositiv Eingang finden, damit die Rechtskraft des vorliegenden Urteils der Kontrolle nicht entgegensteht. Vorsteuerabzüge in der Höhe von Fr. 101'824.02.-- sind somit - unter Vorbehalt einer Kontrolle der ESTV - zuzulassen. Zu prüfen bleiben demnach die von der ESTV verweigerten Vorsteuerabzüge im Betrag von Fr. 13'063.13 bzw. die entsprechenden Vorsteuerbelege.</w:t>
      </w:r>
    </w:p>
    <w:p>
      <w:r>
        <w:rPr>
          <w:b/>
        </w:rPr>
        <w:t>E. 3.3.1</w:t>
      </w:r>
    </w:p>
    <w:p>
      <w:r>
        <w:t>Die Beschwerdeführerin macht bei mehreren Rechnungen der Firma (...) Vorsteuern geltend. Diese Rechnungen weisen das Entgelt "inkl. 7.6% MWST", d.h. den Bruttobetrag einschliesslich der MWST, aus. Diese Rechnungsstellung ist zulässig (E. 2.3). Zu beachten ist dabei, dass der Bruttobetrag 107,6% entspricht (vgl. Alois Camenzind/Niklaus Honauer/Klaus A. Vallender, Handbuch zum Mehrwertsteuergesetz [MWSTG], Bern 2003, 2. Aufl., Rz 1335). Die ESTV stellte deshalb zu Recht fest, dass die Beschwerdeführerin die Vorsteuer auf diesen Rechnungen jeweils falsch mit 7,6% des Bruttobetrages, anstatt richtig mit 7,6/107,6 des Bruttobetrages berechnet hat. Diesen Berechnungsfehler machte die Beschwerdeführerin zudem auch noch bei weiteren Fakturen (z.B. Rechnung der [...] vom 22. Juni 2004 oder der Swisscom Fixnet vom 16. Mai 2004).</w:t>
      </w:r>
    </w:p>
    <w:p>
      <w:r>
        <w:rPr>
          <w:b/>
        </w:rPr>
        <w:t>E. 3.3.2</w:t>
      </w:r>
    </w:p>
    <w:p>
      <w:r>
        <w:t>Im Weiteren macht die Beschwerdeführerin bei Rechnungen der (...) Vorsteuerabzüge geltend, obwohl diese keine Steuer ausweisen, sondern jeweils explizit darauf hinweisen, der Rechnungsbetrag sei "steuerfrei" und die enthaltene MWST betrage "0". Da somit gar keine Steuer überwälzt wurde, können diese Fakturen von Vornherein nicht zum Vorsteuerabzug berechtigen.</w:t>
      </w:r>
    </w:p>
    <w:p>
      <w:r>
        <w:rPr>
          <w:b/>
        </w:rPr>
        <w:t>E. 3.3.3</w:t>
      </w:r>
    </w:p>
    <w:p>
      <w:r>
        <w:t>Ebenfall nicht zum Vorsteuerabzug berechtigt die "Zusammenfassung der Rechnungen" der Swisscom Fixnet AG vom 16. Juli 2004 in der Höhe von Fr. 57.45, da auch diese weder den Steuersatz noch die überwälzte Steuer ausweist und somit die Voraussetzungen von Art. 37 Abs. 1 Bst. f MWSTG nicht erfüllt. Diese materiellen Anforderungen an eine mehrwertsteuerkonforme Rechnung werden im Übrigen durch Art. 45a MWSTG nicht tangiert (E. 2.4.2).</w:t>
      </w:r>
    </w:p>
    <w:p>
      <w:r>
        <w:rPr>
          <w:b/>
        </w:rPr>
        <w:t>E. 3.3.4</w:t>
      </w:r>
    </w:p>
    <w:p>
      <w:r>
        <w:t>Mehrere Rechnungen der (...), der (...) sowie der (...) lauten nicht auf die Beschwerdeführerin, sondern auf B._______. Im Weiteren lauten zwei Rechnungen von (...) auf die X._______AG, B._______. Die betreffenden Rechnungen geben somit nicht den Namen der Beschwerdeführerin als Leistungsempfängerin an, was für den Vorsteuerabzug erforderlich wäre (Art. 37 Abs. 1 Bst. b MWSTG). Eine mangelhafte Angabe zu Name und Adresse kann nach Art. 15a MWSTGV dennoch zum Vorsteuerabzug berechtigen, wenn die betreffende Person eindeutig identifiziert werden kann. Vorliegend geht aus den Akten hervor, dass B._______ für die Beschwerdeführerin gearbeitet haben muss, da er mehrere Schreiben in ihrem Namen unterzeichnet hat (vgl. Schreiben vom 26. Januar 2006 und 20. September 2005). Den Nachweis dafür, dass die genannten Rechnungen (Mobiltelefongebühren, Elektrizität, Kauf von Fahnen und Digitalkameras) ihrem Geschäft zuzurechnen sind, hat sie indessen nicht erbracht. Die betreffenden Vorsteuerabzüge sind deshalb zu verweigern. Hinsichtlich der Mobiltelefonrechnungen der (...) ist zudem festzuhalten, dass bei der Beschwerdeführerin bereits zwei Mobiltelefonanschlüsse und ein Festnetzanschluss als geschäftsmässig begründet akzeptiert wurden und die entsprechenden Vorsteuern zum Abzug zugelassen worden sind.</w:t>
      </w:r>
    </w:p>
    <w:p>
      <w:r>
        <w:rPr>
          <w:b/>
        </w:rPr>
        <w:t>E. 3.3.5</w:t>
      </w:r>
    </w:p>
    <w:p>
      <w:r>
        <w:t>Der Vorsteuerabzug ist ausgeschlossen bei Bezügen für private Zwecke (E. 2.2). Dies ist vorliegend offensichtlich bei den Rechnungen der (...) vom 29. März 2004 bzw. 23. September 2004 über Fr. 1'325.-- für eine Sprudelmatte bzw. Fr. 195.-- für Badezusätze der Fall. Die betreffenden Vorsteuerabzüge von insgesamt Fr. 107.35 sind deshalb nicht gerechtfertigt. Durchaus fraglich ist im Übrigen auch die geschäftliche Begründetheit der zahlreichen CD/DVD Einkäufe. Den Nachweis dafür hat die beweisbelastete Beschwerdeführerin nicht erbracht. Die ESTV akzeptierte in ihrer Vernehmlassung hingegen (wenn auch unter Kontrollvorbehalt) dennoch deren Vorsteuerabzugsberechtigung. Das Bundesverwaltungsgericht hat keinen Anlass, dieses Vorgehen in Frage zu stellen.</w:t>
      </w:r>
    </w:p>
    <w:p>
      <w:r>
        <w:rPr>
          <w:b/>
        </w:rPr>
        <w:t>E. 3.3.6</w:t>
      </w:r>
    </w:p>
    <w:p>
      <w:r>
        <w:t>Im Weiteren macht die Beschwerdeführerin Vorsteuern auf Aufwendungen für ihr Fahrzeug geltend (Rechnung der Garage [...] vom 3. September 2004 über Fr. 819.75). Der betreffende Vorsteuerabzug wäre dann möglich, wenn die Beschwerdeführerin nachweisen könnte, dass es sich um ein Geschäftsfahrzeug handelt. Aus den Akten ergeben sich diesbezüglich keine Anhaltspunkte. Da die beweisbelastete Beschwerdeführerin keine Nachweise beibrachte, muss von einem privat genutzten Fahrzeug ausgegangen werden. Der Vorsteuerabzug hinsichtlich der Reparaturen des Fahrzeuges ist folglich mangels geschäftlicher Begründetheit zu verweigern.</w:t>
      </w:r>
    </w:p>
    <w:p>
      <w:r>
        <w:rPr>
          <w:b/>
        </w:rPr>
        <w:t>E. 3.3.7</w:t>
      </w:r>
    </w:p>
    <w:p>
      <w:r>
        <w:t>Schliesslich führt die ESTV zu Recht aus, dass die Zusammenstellung bzw. Berechnung der Beschwerdeführerin (vgl. Beschwerdebeilage) fehlerhaft ist. So besteht betreffend das 1. Quartal 2004 offensichtlich ein Übertragungsfehler von der Einzelaufstellung (Summe MWST auf Dienstleistungsaufwand gemäss Beschwerdeführerin: Fr. 493.95 bzw. bei richtiger Addition: Fr. 2'036.19) auf die Gesamtaufstellung (gemäss Beschwerdeführerin: Fr. 12'260.15). Zusammenfassend stimmt das Bundesverwaltungsgericht der ESTV zu, dass geltend gemachte Vorsteuern im Umfang von Fr. 13'063.13 nicht zuzulassen sind und damit in diesem Betrag die Beschwerde abzuweisen ist. Hinsichtlich der genauen Berechnung kann auf die Zusammenstellung der ESTV (vgl. amtl. Akten Nr. 35) verwiesen werden.</w:t>
      </w:r>
    </w:p>
    <w:p>
      <w:r>
        <w:rPr>
          <w:b/>
        </w:rPr>
        <w:t>E. 4.1</w:t>
      </w:r>
    </w:p>
    <w:p>
      <w:r>
        <w:t>Die ESTV auferlegte der Beschwerdeführerin in ihrem Einspracheentscheid vom 8. Februar 2006 Verfahrenskosten von Fr. 340.--.</w:t>
      </w:r>
    </w:p>
    <w:p>
      <w:r>
        <w:rPr>
          <w:b/>
        </w:rPr>
        <w:t>E. 4.2</w:t>
      </w:r>
    </w:p>
    <w:p>
      <w:r>
        <w:t>Nach Art. 68 Abs. 1 MWSTG werden im Veranlagungs- und im Einspracheverfahren in der Regel keine Kosten erhoben und keine Parteientschädigungen ausgerichtet. Vom Grundsatz der Kostenlosigkeit wird jedoch dann abgewichen, wenn der Mehrwertsteuerpflichtige das Verfahren schuldhaft verursacht hat. Gemäss Rechtsprechung rechtfertigt sich eine solche Ausnahme von der Kostenlosigkeit namentlich dann, wenn ein Mehrwertsteuerpflichtiger seinen Mitwirkungspflichten nicht nachgekommen ist. Die ESTV hat im angefochtenen Einspracheentscheid demnach zu Recht Verfahrenskosten auferlegt, da die Beschwerdeführerin durch das Nichteinreichen der einverlangten Vorsteuerbelege ihre Mitwirkungspflichten verletzt hat (Urteile des Bundesverwaltungsgerichts A-1478/2006 und A-1477/2006 vom 10. März 2008 E. 4.1 sowie A-1435/2006 und A-1584/2006 vom 20. Februar 2007 E. 2.1 je mit Hinweisen). Überdies sieht Art. 68 Abs. 2 MWSTG explizit vor, dass die Kosten von Untersuchungshandlungen ohne Rücksicht auf den Ausgang des Verfahrens derjenigen Partei auferlegt werden können, die sie schuldhaft verursacht hat (Urteil des Bundesverwaltungsgerichts A-150/2007 vom 25. Juni 2008, A-1541/2006 vom 25. Mai 2008 E. 2.2). Die Höhe der Kosten des Einspracheverfahrens ist im Übrigen nicht zu beanstanden.</w:t>
      </w:r>
    </w:p>
    <w:p>
      <w:r>
        <w:rPr>
          <w:b/>
        </w:rPr>
        <w:t>E. 5.1</w:t>
      </w:r>
    </w:p>
    <w:p>
      <w:r>
        <w:t>Nach dem Gesagten ist die Beschwerde - soweit darauf eingetreten wird - im Umfang von Fr. 101'824.-- gutzuheissen, im Übrigen jedoch abzuweisen. Eine Kontrolle der ESTV bleibt vorbehalten und dieser Vorbehalt wird im Dispositiv aufgenommen (E. 3.2).</w:t>
      </w:r>
    </w:p>
    <w:p>
      <w:r>
        <w:rPr>
          <w:b/>
        </w:rPr>
        <w:t>E. 5.2</w:t>
      </w:r>
    </w:p>
    <w:p>
      <w:r>
        <w:t>Die Kosten des Beschwerdeverfahrens werden auf Fr. 2'000.-- festgelegt (Art. 4 des Reglements vom 21. Februar 2008 über die Kosten und Entschädigungen vor dem Bundesverwaltungsgericht [VGKE, SR 173.320.2]). Gemäss Art. 63 Abs. 3 VwVG dürfen einer obsiegenden Partei die Kosten des Beschwerdeverfahrens auferlegt werden, sofern sie diese durch Verletzung von Verfahrenspflichten verursacht hat. Dies ist vorliegend der Fall. Die Beschwerdeführerin hat durch das Nichteinreichen der mehrfach einverlangten Vorsteuerbelege vor der Vorinstanz (auch) das vorliegende Beschwerdeverfahren unnötigerweise und damit schuldhaft verursacht. Ihr sind deshalb trotz des teilweisen Obsiegens die Verfahrenskosten des Beschwerdeverfahrens vollständig aufzuerlegen (vgl. Urteile des Bundesverwaltungsgerichts A-150/2007 vom 25. Juni 2008, A-192/2008 vom 24. April 2008, A-1532/2007 vom 23. November 2007 mit weiteren Hinweisen). Aus dem gleichen Grund ist der Beschwerdeführerin auch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