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A-1546/2017 vom 17. Januar 2018</w:t>
      </w:r>
    </w:p>
    <w:p>
      <w:r>
        <w:t>Bundesverwaltungsgericht, 2018-01-17, DE</w:t>
      </w:r>
    </w:p>
    <w:p>
      <w:r>
        <w:rPr>
          <w:b/>
        </w:rPr>
        <w:t xml:space="preserve">Quelle: </w:t>
      </w:r>
      <w:r>
        <w:t>https://mcp.opencaselaw.ch/entscheid/bvger_A-1546_2017</w:t>
      </w:r>
    </w:p>
    <w:p>
      <w:r>
        <w:t>FR: TAF A-1546/2017 du 17 janvier 2018</w:t>
      </w:r>
    </w:p>
    <w:p>
      <w:r>
        <w:t>IT: TAF A-1546/2017 del 17 gennaio 2018</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des Elektrizitätsgesetzes vom 24. Juni 1902 [EleG, SR 734.0] und Art. 31 ff. des Verwaltungsgerichtsgesetzes vom 17. Juni 2005 [VGG, SR 173.32]). Das Verfahren vor dem Bundesverwaltungsgericht richtet sich nach dem Verwaltungsverfahrensgesetz vom 20. Dezember 1968 (VwVG, SR 172.021)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besitzt. Die Beschwerdeführerin hat am vorinstanzlichen Verfahren teilgenommen und ist als Adressatin der angefochtenen Verfügung, worin sie zur Erbringung des Sicherheitsnachweises und zur Bezahlung einer Gebühr von Fr. 700.- verpflichtet wird,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w:t>
      </w:r>
    </w:p>
    <w:p>
      <w:r>
        <w:t>In prozessualer Hinsicht beantragt die Beschwerdeführerin in ihrer letzten Eingabe vom 30. Dezember 2017 erneut die Sistierung des vorliegenden Beschwerdeverfahrens mit der Begründung, dass ihr die Vorinstanz eine Fristerstreckung bis zum 28. Februar 2018 gewähre, um die vom Kontrolleur festgestellten Mängel beheben zu lassen. Hierzu ist festzuhalten, dass sich die erwähnte Fristerstreckung auf ein vorinstanzliches Verfahren mit den Nummern (...) bzw. (...) und eine Verfügung der Vorinstanz vom 5. Juli 2017 bezieht. Demgegenüber betrifft das vorliegende Verfahren die vorinstanzliche Verfahrensnummer (...) und die angefochtene Verfügung wurde am 14. Februar 2017 erlassen. Der Sistierungsantrag ist somit für dieses Beschwerdeverfahren nicht relevant. Er ist abzuweisen.</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4.1</w:t>
      </w:r>
    </w:p>
    <w:p>
      <w:r>
        <w:t>Die Beschwerdeführerin macht u.a. geltend, dass sie wegen der Herzoperation ihres Vertreters und dessen anschliessenden (teilweisen) Arbeitsunfähigkeit ihrer Verpflichtung hinsichtlich des Sicherheitsnachweises nicht habe nachkommen können.</w:t>
      </w:r>
    </w:p>
    <w:p>
      <w:r>
        <w:rPr>
          <w:b/>
        </w:rPr>
        <w:t>E. 4.2</w:t>
      </w:r>
    </w:p>
    <w:p>
      <w:r>
        <w:t>Der Betriebsinhaber (Eigentümer, Pächter usw.) ist für die Beaufsichtigung der elektrischen Anlagen und die Überwachung ihres guten Zustandes verantwortlich (Art. 20 Abs. 1 EleG). Der Eigentümer oder der von ihm bezeichnete Vertreter hat dafür zu sorgen, dass die elektrischen Installationen stets den gesetzlichen Anforderungen genügen; er muss auf Verlangen den entsprechenden Sicherheitsnachweis erbringen (Art. 5 Abs. 1 der Niederspannungs-Installationsverordnung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w:t>
      </w:r>
    </w:p>
    <w:p>
      <w:r>
        <w:rPr>
          <w:b/>
        </w:rPr>
        <w:t>E. 4.3</w:t>
      </w:r>
    </w:p>
    <w:p>
      <w:r>
        <w:t>Im Zusammenhang mit dem periodischen Nachweis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(Art. 36 Abs. 1 NIV).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3 NIV). Die Vorinstanz ist gemäss Art. 41 NIV berechtigt, für die Kontrolltätigkeit und für Verfügungen nach NIV Gebühren zu erheben.</w:t>
      </w:r>
    </w:p>
    <w:p>
      <w:r>
        <w:rPr>
          <w:b/>
        </w:rPr>
        <w:t>E. 4.4</w:t>
      </w:r>
    </w:p>
    <w:p>
      <w:r>
        <w:t>Vorliegend hat die Netzbetreiberin am 6. Juni 2014 die Beschwerdeführerin für das 2. Obergeschoss links und den Laden/Kiosk im Erdgeschoss an der Y._______-strasse erstmals aufgefordert, einen Sicherheitsnachweis einzureichen. Nach Ablauf der angesetzten und verlängerten Frist erfolgten am 9. April 2015 eine erste Erinnerung und anschliessend zwei Mahnungen am 18. August 2015 und am 11. Februar 2016. Nachdem die Beschwerdeführerin den Sicherheitsnachweis dennoch nicht eingereicht hatte, überwies die Netzbetreiberin die Angelegenheit mit Schreiben vom 7. April 2016 der Vorinstanz zur Durchsetzung.</w:t>
      </w:r>
    </w:p>
    <w:p>
      <w:r>
        <w:rPr>
          <w:b/>
        </w:rPr>
        <w:t>E. 4.5</w:t>
      </w:r>
    </w:p>
    <w:p>
      <w:r>
        <w:t>Die Verpflichtung, als Eigentümer einer mit elektrischen Niederspannungsinstallationen ausgestatteten Liegenschaft einen Sicherheitsnachweis erbringen zu müssen, stellt die Beschwerdeführerin nicht in Frage. Die formellen Voraussetzungen für die Übergabe der Angelegenheit an die Vorinstanz (Aufforderung und zweimalige Mahnung) sind vorliegend ebenfalls erfüllt und unbestritten. Weiter ist die mit Schreiben der Vorinstanz vom 8. April 2016 auf den 16. August 2016 angesetzte Frist, welche zweimal verlängert wurde (30. September 2016 bzw. anschliessend bis zum 31. Januar 2017) verstrichen, ohne dass bei der Kontrollstelle der Sicherheitsnachweis einging.</w:t>
      </w:r>
    </w:p>
    <w:p>
      <w:r>
        <w:rPr>
          <w:b/>
        </w:rPr>
        <w:t>E. 4.6</w:t>
      </w:r>
    </w:p>
    <w:p>
      <w:r>
        <w:t>Ein Krankheitszustand bildet, wenn und solange er jegliches auf die Fristwahrung gerichtetes Handeln verunmöglicht, ein unverschuldetes Hindernis. Die Erkrankung muss jedoch so gravierend sein, dass der Rechtssuchende durch sie davon abgehalten wird, selbst innert Frist zu handeln oder eine Drittperson mit der Vornahme der Handlung zu betrauen (vgl. Urteile des Bundesgerichts [BGer] 1C_497/2016 vom 27. Oktober 2016 E. 4.2 und 1C_345/2015 vom 14. Juli 2015 E. 4.1 je m.H.; Urteil des BVGer A-4159/2016 vom 21. November 2016 E. 5.1). Bei der Beschwerdeführerin handelt es sich um eine privatrechtliche Aktiengesellschaft, die nach aussen durch den Verwaltungsrat vertreten wird. Bestimmen die Statuten oder das Organisationsreglement nichts anderes, so steht die Vertretungsbefugnis jedem Mitglied des Verwaltungsrats einzeln zu (Art. 718 des Obligationenrechts vom 30. März 1911 [OR, SR 220]). Gemäss Handelsregistereintrag (am 18. Dezember 2017 im Internet eigesehen) hat nebst dem Unterzeichnenden A._______ (Mitglied) auch B._______ (Mitglied der Geschäftsleitung) seit dem Jahre 2007 die Einzelunterschrift. Letzterer ist demnach befugt, die Beschwerdeführerin zu vertreten. Selbst wenn dieser, wie A._______ geltend macht, lediglich als Bindeglied des Verwaltungsrates zu den Aktionären fungiert und ganzzeitig einer anderen Erwerbstätigkeit nachgeht, wäre es der Beschwerdeführerin möglich und zumutbar gewesen, den Sicherheitsnachweis durch B._______ zu erbringen oder allenfalls die Dienste eines Dritten hierfür in Anspruch zu nehmen. Im Übrigen geht aus den eingereichten Arztzeugnissen hervor, dass A._______ nicht während des ganzen Zeitraumes, in dem die Beschwerdeführerin den Sicherheitsnachweis hätte erbringen sollen, 100 % arbeitsunfähig war und somit für diese hätte handeln können.</w:t>
      </w:r>
    </w:p>
    <w:p>
      <w:r>
        <w:rPr>
          <w:b/>
        </w:rPr>
        <w:t>E. 5</w:t>
      </w:r>
    </w:p>
    <w:p>
      <w:r>
        <w:t>Die Beschwerdeführerin führt weiter aus, dass sie insbesondere wegen bereits vorgenommenen und zukünftigen Umbauarbeiten der Gewerbeliegenschaft eine Vereinheitlichung der Kontrollfristen erreichen wolle und deshalb den Sicherheitsnachweis noch nicht habe erbringen können, zumal die zeitliche Dringlichkeit nicht gegeben sei. Im Folgenden ist deshalb zu prüfen, ob der Beschwerdeführerin eine Abweichung von der Kontrollperiode zu bewilligen ist.</w:t>
      </w:r>
    </w:p>
    <w:p>
      <w:r>
        <w:rPr>
          <w:b/>
        </w:rPr>
        <w:t>E. 5.1</w:t>
      </w:r>
    </w:p>
    <w:p>
      <w:r>
        <w:t>Massgebend für ein allfälliges Abweichen von Kontrollperioden gemäss Art. 36 Abs. 4 NIV ist, ob die Sicherheit von Personen und Sachen weiterhin gewährleistet ist. Eine Verlängerung ist im Zusammenhang mit Gesamterneuerungen oder Umbauten nicht ausgeschlossen (vgl. Urteil des BVGer A-5258/2015 vom 7. Januar 2016 E. 4). Nach der Rechtsprechung des Bundesgerichts würde der Grundsatz der ständig zu gewährleistenden Sicherheit jedoch untergraben, wenn das Einreichen eines Sicherheitsnachweises über Jahre hinausgeschoben werden könnte mit der blossen Berufung auf (mögliche) Sanierungen und Umbauten. Es bezeichnete im konkreten Fall eine Zeitspanne von drei Jahren als ausreichend, um das Erbringen des Sicherheitsnachweises mit den geplanten baulichen Massnahmen abzustimmen. Zudem dürfe eine Abweichung von den Kontrollperioden durch die Vorinstanz regelmässig nur dann in Betracht fallen, wenn Klarheit über allfällige Mängel bestehe, diese nicht unverzüglich behoben werden müssten und der Eigentümer belege, dass eine Mängelbeseitigung innert nützlicher Frist erfolgen werde (Urteil des BGer 2C_922/2012 vom 5. März 2013 E. 3.3). Dies entspricht ebenfalls der Rechtsprechung des Bundesverwaltungsgerichts (vgl. etwa Urteile des BVGer A-4845/2015 vom 27. Februar 2017 E. 3.3; A-6141/2013 vom 28. April 2014 E. 4.3 und A-873/2012 vom 13. November 2012 E. 3.4.1).</w:t>
      </w:r>
    </w:p>
    <w:p>
      <w:r>
        <w:rPr>
          <w:b/>
        </w:rPr>
        <w:t>E. 5.2</w:t>
      </w:r>
    </w:p>
    <w:p>
      <w:r>
        <w:t>Die Beschwerdeführerin hatte vom Zeitpunkt der ersten Ankündigung Anfang Juni 2014 bis zum Ende der von der Netzbetreiberin und anschliessend von der Vorinstanz mehrfach verlängerten Frist insgesamt zweieinhalb Jahre Zeit, die periodische Kontrolle durchführen zu lassen. Innerhalb dieser Frist konnte sie frei bestimmen, wann sie die geforderte Kontrolle durchführen lässt. Damit können und dürfen auch mögliche Synergien einer zeitlichen Koordination der periodischen Kontrolle mit tatsächlich aktuellen Renovationen, Umbauten oder Erneuerungen genutzt werden. Die Beschwerdeführerin hatte demnach einen gewissen Spielraum, ihr legitimes privates Interesse an Kosteneinsparungen durchzusetzen (vgl. auch Urteil des BVGer A-933/2012 vom 20. August 2012 E. 3.2). Dazu hätte sie jedoch der Vorinstanz konkrete Unterlagen bzw. Belege einreichen müssen, was sie nicht tat. Dies und der Umstand, dass sie bis heute von "vermutlichen" Umbauarbeiten ab Sommer 2018 spricht, legen den Schluss nahe, dass sie die periodische Kontrolle auf unbestimmte Zeit hinauszuschieben versucht. Damit untergräbt sie das Erfordernis des Grundsatzes der ständig zu gewährleistenden Sicherheit. Ein Grund für die Abweichung von Kontrollfristen ist daher nicht ersichtlich.</w:t>
      </w:r>
    </w:p>
    <w:p>
      <w:r>
        <w:rPr>
          <w:b/>
        </w:rPr>
        <w:t>E. 6.1</w:t>
      </w:r>
    </w:p>
    <w:p>
      <w:r>
        <w:t>Die Beschwerdeführerin bestreitet die Mangelhaftigkeit der Anlagen, weshalb keine Gefährdung der Sicherheit bestehe, seien doch alle Installationen jüngeren bzw. neusten Datums und stets von der gleichen konzessionierten Firma kontrolliert worden.</w:t>
      </w:r>
    </w:p>
    <w:p>
      <w:r>
        <w:rPr>
          <w:b/>
        </w:rPr>
        <w:t>E. 6.2</w:t>
      </w:r>
    </w:p>
    <w:p>
      <w:r>
        <w:t>Dieser Ansicht kann nicht zugestimmt werden. Wie die Vorinstanz richtig ausführt, ist die periodische Kontrolle der jeweiligen elektrischen Installationen vorgesehen, um diese zu überprüfen und mittels Sicherheitsnachweis zu belegen. Sie dient gerade dazu, allfällige Mängel festzustellen und diese zu beheben, so dass den grundlegenden Anforderungen an die Sicherheit und zur Vermeidung von Störungen gemäss Art. 3 und 4 NIV Genüge getan wird. A._______ als Vertreter der Beschwerdeführerin gilt als fachunkundige Person (vgl. Art. 8 NIV zur Fachkundigkeit) der es im Sinne des Gesetzes nicht möglich ist, Mängel festzustellen bzw. deren Auswirkungen abzuschätzen. Seine Behauptung, dass die Anlagen neueren Datums seien und stets von der gleichen Firma kontrolliert würden, ist deshalb ohne erbrachten Sicherheitsnachweis irrelevant.</w:t>
      </w:r>
    </w:p>
    <w:p>
      <w:r>
        <w:rPr>
          <w:b/>
        </w:rPr>
        <w:t>E. 7.1</w:t>
      </w:r>
    </w:p>
    <w:p>
      <w:r>
        <w:t>Zusammenfassend kann festgehalten werden, dass die Vorinstanz die angedrohte kostenpflichtige Verfügung vom 14. Februar 2017 zu Recht erlassen hat.</w:t>
      </w:r>
    </w:p>
    <w:p>
      <w:r>
        <w:rPr>
          <w:b/>
        </w:rPr>
        <w:t>E. 7.2</w:t>
      </w:r>
    </w:p>
    <w:p>
      <w:r>
        <w:t>Damit ist auch die der Beschwerdeführerin auferlegte Gebühr dem Grundsatz nach nicht zu beanstanden. Zu prüfen bleibt deren Höhe: Art. 41 NIV verweist hierzu auf Art. 9 und 10 der Verordnung vom 7. Dezember 1992 über das Eidgenössische Starkstrominspektorat (Vo ESTI, SR 734.24). Danach betragen die Gebühren für den Erlass einer Verfügung höchstens Fr. 3'000.- und sind nach dem tatsächlich entstandenen Aufwand zu bemessen (Art. 9 Abs. 1 Vo ESTI). Innerhalb dieses Gebührenrahmens kommt der Vorinstanz erheblicher Ermessensspielraum zu (vgl. Urteil des BVGer A-3258/2012 vom 6. November 2012 E. 2.4 und A-1724/2012 vom 20. Dezember 2012 E. 4.4). Die der Beschwerdeführerin auferlegte Gebühr von Fr. 700.- bewegt sich im unteren Bereich der vorgegebenen Bandbreite. Die Vorinstanz hatte bei der Bearbeitung der Angelegenheit einigen Aufwand zu betreiben; so waren das von der Netzbetreiberin überwiesene Dossier zu prüfen, zweimal eine Nachfrist anzusetzen, die Einhaltung der Fristen zu kontrollieren und schliesslich die anfechtbare Verfügung zu erlassen. In Anbetracht dieses Aufwandes erscheint eine Gebühr von Fr. 700.- für den Erlass der angefochtenen Verfügung als angemessen. Die Gebühr ist somit auch der Höhe nach nicht zu beanstanden.</w:t>
      </w:r>
    </w:p>
    <w:p>
      <w:r>
        <w:rPr>
          <w:b/>
        </w:rPr>
        <w:t>E. 8.1</w:t>
      </w:r>
    </w:p>
    <w:p>
      <w:r>
        <w:t>Aus den vorstehenden Erwägungen folgt, dass die Beschwerdeführerin weiterhin verpflichtet ist, den periodischen Sicherheitsnachweis zu erbringen (sofern sie dies in der Zwischenzeit nicht getan hat). Die ihr von der Vorinstanz angesetzte als auch die von ihr selbst vorgeschlagenen Fristen sind inzwischen verstrichen. Es ist ihr deshalb eine neue Frist von einem Monat ab Rechtskraft des vorliegenden Urteils anzusetzen, um den geforderten Sicherheitsnachweis der Netzbetreiberin zuzustellen.</w:t>
      </w:r>
    </w:p>
    <w:p>
      <w:r>
        <w:rPr>
          <w:b/>
        </w:rPr>
        <w:t>E. 8.2</w:t>
      </w:r>
    </w:p>
    <w:p>
      <w:r>
        <w:t>Bei diesem Ausgang des Verfahrens gilt die Beschwerdeführerin als unterliegend, weshalb sie die Verfahrenskosten zu tragen hat (Art. 63 Abs. 1 VwVG). Die Verfahrenskosten werden unter Berücksichtigung der am 15. März 2017 erlassenen Zwischenverfügung auf Fr. 800.- festgesetzt (Art. 1 ff. des Reglements vom 21. Februar 2008 über die Kosten und Entschädigungen vor dem Bundesverwaltungsgericht [VGKE, SR 173.320.2]) und mit dem geleisteten Kostenvorschuss in derselben Höhe verrechnet. Angesichts ihres Unterliegens hat die Beschwerdeführerin von vornherein keinen Anspruch auf eine Parteientschädigung (Art. 64 VwVG i.V.m. Art. 7 VGKE).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