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A-1538/2006 vom 28. Mai 2008</w:t>
      </w:r>
    </w:p>
    <w:p>
      <w:r>
        <w:t>Bundesverwaltungsgericht, 2008-05-28, DE</w:t>
      </w:r>
    </w:p>
    <w:p>
      <w:r>
        <w:rPr>
          <w:b/>
        </w:rPr>
        <w:t xml:space="preserve">Quelle: </w:t>
      </w:r>
      <w:r>
        <w:t>https://mcp.opencaselaw.ch/entscheid/bvger_A-1538_2006</w:t>
      </w:r>
    </w:p>
    <w:p>
      <w:r>
        <w:t>FR: TAF A-1538/2006 du 28 mai 2008</w:t>
      </w:r>
    </w:p>
    <w:p>
      <w:r>
        <w:t>IT: TAF A-1538/2006 del 28 maggio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der Ende 2006 bei der SRK hängigen Rechtsmittel und wendet das neue Verfahrensrecht an (Art. 53 Abs. 2 VGG).</w:t>
      </w:r>
    </w:p>
    <w:p>
      <w:r>
        <w:rPr>
          <w:b/>
        </w:rPr>
        <w:t>E. 1.2</w:t>
      </w:r>
    </w:p>
    <w:p>
      <w:r>
        <w:t>Das Bundesverwaltungsgericht kann den angefochtenen Einspracheentscheid grundsätzlich in vollem Umfange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1.3.1</w:t>
      </w:r>
    </w:p>
    <w:p>
      <w:r>
        <w:t>Mit ihrem Erstentscheid vom 15. Juni 2005 forderte die ESTV von der Beschwerdeführerin für das 1. bis 4. Quartal 2000 Fr. 1'707.-- zuzüglich Verzugszins zu 5% seit dem 31. Dezember 2000 nach. Dies im Gegensatz zum Einspracheentscheid vom 8. Dezember 2005, in dem sie betreffend die gleichen Steuerperioden auf eine Nachforderung von Fr. 3'298.-- Mehrwertsteuer zuzüglich Verzugszins erkannte. Als Grund für die unterschiedliche Höhe der Steuerforderung führte die ESTV aus, dass sie ihre ursprüngliche Nachforderung gemäss EA Nr. 670333 vom 14. April 2004 (1. Quartal 2000 bis 4. Quartal 2003 inkl. Schlussabrechnung) in der Höhe von Fr. 20'276.-- irrtümlicherweise falsch auf die beiden Erstentscheide vom 15. Juni 2005 betreffend das 1. bis 4. Quartal 2000 bzw. das 1. Quartal 2001 bis 4. Quartal 2003 aufgeteilt habe (für das 1. bis 4 Quartal 2000 habe sie Fr. 1'707.-- statt richtig Fr. 3'298.-- und für das 1. Quartal 2001 bis 4. Quartal 2003 Fr. 18'569.-- statt richtig Fr. 16'978.-- nachgefordert). Mit den beiden entsprechenden Einspracheentscheiden vom 8. Dezember 2005 habe sie in der Folge diesen Fehler korrigiert. Insgesamt, d.h. für die Steuerperioden vom 1. Quartal 2000 bis 4. Quartal 2003, sei es durch die Korrektur nicht zu einer Schlechterstellung der Beschwerdeführerin gekommen, da sich die Steuerforderung immer noch auf Fr. 20'276.-- belaufe. Eine reformatio in peius liege deshalb nicht vor. Das Bundesverwaltungsgericht kann diese Ansicht der ESTV nicht teilen. Zum einen führt bereits der unterschiedliche Zinsenlauf (für die Forderung des 1. bis 4. Quartals 2000 ab dem 1. Januar 2001 und für die Forderung des 1. Quartal 2001 bis 4. Quartal 2003 ab dem 1. Januar 2003) vorliegend auch bei der von der ESTV vorgenommenen "globalen" Betrachtungsweise zu einer Schlechterstellung der Beschwerdeführerin. Zum anderen traf die ESTV je einen unabhängigen Erstentscheid bzw. Einspracheentscheid für das 1. bis 4. Quartal 2000 und für das 1. Quartal 2001 bis 4. Quartal 2003. Ob eine reformatio in peius gegeben ist, ist deshalb einzig aufgrund des vorliegend relevanten Erstentscheides bzw. Einspracheentscheides betreffend das 1. bis 4. Quartal 2000 zu prüfen. Da die ESTV im Erstentscheid auf Fr. 1'707.-- und im Einspracheentscheid auf eine Steuerschuld von Fr. 3'298.-- erkannte, liegt somit eine Schlechterstellung der Beschwerdeführerin in der Höhe von Fr. 1'591.-- vor. Es stellt sich für das Bundesverwaltungsgericht demnach von Amtes wegen die Frage, ob diese Schlechterstellung zulässig war.</w:t>
      </w:r>
    </w:p>
    <w:p>
      <w:r>
        <w:rPr>
          <w:b/>
        </w:rPr>
        <w:t>E. 1.3.2</w:t>
      </w:r>
    </w:p>
    <w:p>
      <w:r>
        <w:t>Die ESTV kann den angefochtenen ersten Entscheid zu Ungunsten der Steuerpflichtigen grundsätzlich ändern, soweit dieser Bundesrecht verletzt oder auf einer unrichtigen bzw. unvollständigen Sachverhaltsfeststellung beruht. Beabsichtigt die ESTV eine solche reformatio in peius, so bringt sie dies der Steuerpflichtigen zur Kenntnis und räumt ihr Gelegenheit zur Gegenäusserung ein (Art. 62 Abs. 2 und 3 VwVG); sie gewährt ihr also das rechtliche Gehör, das soweit geht, dass die mit der Verschlechterung der Rechtslage bedrohte Steuerpflichtige im Rahmen dieser Anhörung ausdrücklich darauf hinzuweisen ist, sie könne ihr Rechtsmittel zurückziehen und der angefochtene Entscheid erwachse damit in Rechtskraft (vgl. Moser, a.a.O., Rz. 3.94, mit Hinweisen auf die Rechtsprechung). Diese Handhabung der reformatio in peius soll den Rechtsuchenden nur, aber immerhin, davor schützen, hinter das zurückgeworfen zu werden, was er im ersten Entscheid erreicht hat (vgl. Moser, a.a.O., Rz. 3.93).</w:t>
      </w:r>
    </w:p>
    <w:p>
      <w:r>
        <w:rPr>
          <w:b/>
        </w:rPr>
        <w:t>E. 1.3.3</w:t>
      </w:r>
    </w:p>
    <w:p>
      <w:r>
        <w:t>Die Beschwerdeführerin hat im Verfahren vor dem Bundesverwaltungsgericht die reformatio in peius als solche nicht beanstandet. Überdies hat sie mit dem vorliegenden Rechtsbegehren, das darüber hinausgeht, als was sie mit dem ersten Entscheid erreicht hat, zweifelsfrei signalisiert, dass sie damit nicht den Schutz davor in Anspruch nehmen will, hinter das zurückgeworfen zu werden, was sie mit dem ersten Entscheid erreicht hat. Eine allfällige Gehörsverletzung wäre unter diesen Umständen als mit dem vorliegenden Beschwerdeverfahren geheilt zu betrachten (Urteil des Bundesverwaltungsgerichts A-1630/2006 und 1631/2006 vom 13. Mai 2008 E. 1.3).</w:t>
      </w:r>
    </w:p>
    <w:p>
      <w:r>
        <w:rPr>
          <w:b/>
        </w:rPr>
        <w:t>E. 1.4</w:t>
      </w:r>
    </w:p>
    <w:p>
      <w:r>
        <w:t>Am 1. Januar 2001 sind das MWSTG sowie die zugehörige Verordnung (Verordnung vom 29. März 2000 zum Bundesgesetz über die Mehrwertsteuer [MWSTGV, SR 641.201]) in Kraft getreten. Das neue Recht gilt für Umsätze, die ab Inkrafttreten des MWSTG getätigt worden sind. Der zu beurteilende Sachverhalt hat sich indessen im Jahr 2000 zugetragen. Auf die vorliegende Beschwerde ist damit noch altes Recht, d.h. die MWSTV, anwendbar (Art. 93 Abs. 1 und Art. 94 Abs. 1 MWSTG).</w:t>
      </w:r>
    </w:p>
    <w:p>
      <w:r>
        <w:rPr>
          <w:b/>
        </w:rPr>
        <w:t>E. 2.1</w:t>
      </w:r>
    </w:p>
    <w:p>
      <w:r>
        <w:t>Der Mehrwertsteuer unterliegen u.a. die im Inland gegen Entgelt erbrachten Lieferungen von Gegenständen und Dienstleistungen (Art. 4 Bst. a und b MWSTV). Eine Lieferung liegt nach Art. 5 Abs. 1 und 2 MWSTV vor, wenn die Befähigung verschafft wird, im eigenen Namen über einen Gegenstand wirtschaftlich zu verfügen, wenn ein Gegenstand, an dem Arbeiten besorgt worden sind, abgeliefert wird und wenn ein Gegenstand zum Gebrauch oder zur Nutzung überlassen wird. Als Dienstleistung gilt jede Leistung, die keine Lieferung eines Gegenstandes ist (Art. 6 Abs. 1 MWSTV).</w:t>
      </w:r>
    </w:p>
    <w:p>
      <w:r>
        <w:rPr>
          <w:b/>
        </w:rPr>
        <w:t>E. 2.2</w:t>
      </w:r>
    </w:p>
    <w:p>
      <w:r>
        <w:t>Verwendet ein Steuerpflichtiger Gegenstände oder Dienstleistungen für einen in Art. 29 Abs. 2 MWSTV genannten Zweck, namentlich für steuerbare Lieferungen und Dienstleistungen, so kann er in seiner Steuerabrechnung die ihm von anderen Steuerpflichtigen in Rechnung gestellte Steuer für Lieferungen und Dienstleistungen abziehen (Art. 29 Abs. 1 und 2 MWSTV). Die Vorsteuerabzugsberechtigung setzt mithin voraus, dass der Mehrwertsteuerpflichtige die vorsteuerbelastete Eingangsleistung ("Input") für steuerbare Umsätze ("Output") verwendet. Nach der Rechtsprechung bedarf es eines "objektiven wirtschaftlichen Zusammenhangs zwischen steuerbarer Eingangs- und Ausgangsleistung". Eine Verknüpfung zwischen den steuerbaren Eingangs- und Ausgangsumsätzen ist zwingend erforderlich, wobei neben der unmittelbaren, direkten Verwendung der Eingangsleistung für den Ausgangsumsatz auch eine mittelbare Verwendung genügt, bei welcher die Eingangsleistung nur indirekt in den Ausgangsumsatz einfliesst (BGE 132 II 353 E. 8.3, ferner E. 10; Urteile des Bundesgerichts 2A.650/2005 vom 16. August 2006 E. 3.4, 2A.348/2004 vom 1. Dezember 2004 E. 3.3.2, 2A.273/2002 vom 13. Januar 2003 E. 5.2 mit Hinweis auf BGE 123 II 303 E. 6a, 2A.175/2002 vom 23. Dezember 2002 E. 5.2; Urteile des Bundesverwaltungsgerichts A-1376/2006 vom 20. November 2007 E. 5.1, A-1359/2006 vom 26. Juli 2007 E. 5.2 mit Hinweisen). Der Zusammenhang ist indirekt bzw. mittelbar, wenn eine steuerbare Leistung mit Hilfe der vorsteuerbelasteten Eingangsleistung ausgeführt wird, diese Eingangsleistung aber doch nicht direkt in die steuerbare Ausgangsleistung Eingang fand, so z.B. bei Produktionsmitteln, Investitionsgütern, Verwaltungsleistungen (BGE 132 II 353 E. 8.3; Urteil des Bundesverwaltungsgerichts A-1357/2006 vom 27. Juni 2007 E. 2.1 mit Hinweisen; vgl. auch Alois Camenzind/Niklaus Honauer/Klaus A. Vallender, Handbuch zum Mehrwertsteuergesetz [MWSTG], Bern 2003, 2. Aufl., Rz. 1395).</w:t>
      </w:r>
    </w:p>
    <w:p>
      <w:r>
        <w:rPr>
          <w:b/>
        </w:rPr>
        <w:t>E. 2.3</w:t>
      </w:r>
    </w:p>
    <w:p>
      <w:r>
        <w:t>Nicht genügend ist nach der Rechtsprechung eine lediglich für die Zukunft beabsichtigte Verwendung für steuerbare Ausgangsleistungen, denn das schweizerische Recht knüpft den Vorsteuerabzug an die tatsächliche Verwendung der Eingangsleistung für steuerbare Umsätze und nicht nur an die Unternehmenseigenschaft (Urteile des Bundesgerichts 2A.348/2004 vom 1. Dezember 2004 E. 3.3.2, 2A.351/2004 vom 1. Dezember 2004 E. 4.3.2, 2A.174/2002 vom 23. Dezember 2002 E. 3; Entscheide der SRK vom 3. November 2006 [2004-029/030] E. 2d/bb, vom 14. März 2006, veröffentlicht in Verwaltungspraxis der Bundesbehörden [VPB] 70.79 E. 3c/aa, vom 24. Oktober 2005, veröffentlicht in VPB 70.41 E. 2c/aa; Daniel Riedo, Vom Wesen der Mehrwertsteuer als allgemeine Verbrauchsteuer und von den entsprechenden Wirkungen auf das schweizerische Recht, Bern 1999, S. 257 ff.; anderer Ansicht ein Teil der Lehre: Camenzind/Honauer/Vallender, a.a.O., Rz. 1395; Ivo P. Baumgartner, mwst.com, Kommentar zum Bundesgesetz über die Mehrwertsteuer, Basel 2000, N. 44, 46 ff. zu Art. 38, mit Verweisen auf die europäische Rechtsprechung; siehe auch Annie Rochat Pauchard, Création d'une nouvelle entreprise et début d'assujettissement à la TVA, in: Der Schweizer Treuhänder [ST] 2005 S. 927). Damit verstösst die schweizerische Gesetzgebung nicht gegen den Grundsatz der Steuerneutralität der Mehrwertsteuer, weil diese in der Schweiz bewusst nur innerhalb der Unternehmenskette, d.h. sofern Leistungen für steuerbare Zwecke verwendet werden, sichergestellt werden soll (Urteil des Bundesgerichts 2A.351/2004 vom 1. Dezember 2004 E. 4.3.2; Urteile des Bundesverwaltungsgerichts A-1376/2006 vom 20. November 2007 E. 5.2, A-1361/2006 vom 19. Februar 2007 E. 5.2).</w:t>
      </w:r>
    </w:p>
    <w:p>
      <w:r>
        <w:rPr>
          <w:b/>
        </w:rPr>
        <w:t>E. 2.4</w:t>
      </w:r>
    </w:p>
    <w:p>
      <w:r>
        <w:t>Werden bezogene Leistungen nicht für einen geschäftlich begründeten Zweck bzw. nicht für einen steuerbaren Ausgangsumsatz verwendet, liegt Endverbrauch beim Steuerpflichtigen vor, welcher somit nicht zum Vorsteuerabzug berechtigt (BGE 132 II 353 E. 10, 8.2; Urteile des Bundesverwaltungsgerichts A-3069/2007 vom 29. Januar 2008 E. 2.3, A-1351/2006 vom 29. Oktober 2007 E. 4.1; Riedo, a.a.O., S. 254 f.). Endverbrauch ist nicht zwingend privat. Auch juristische Personen als Steuerpflichtige können (wie natürliche Personen) ein Nebeneinander von unternehmerischer und nichtunternehmerischer Betätigung aufweisen und im Umfang, in dem sie die Eingangsleistungen nicht für steuerbare Zwecke verwenden, findet Endverbrauch statt (sog. "Endverbrauch in der Unternehmenssphäre"), womit der Vorsteuerabzug zu verweigern ist (BGE 123 II 307 E. 7a; Urteile des Bundesverwaltungsgerichts A-1373/2006 vom 16. November 2007 E. 2.2.1, A-1357/2006 vom 27. Juni 2007 E. 2.2; Entscheid der SRK vom 4. März 2002, veröffentlicht in VPB 66.58 E. 6b, c). Endverbrauch im Sinne des Mehrwertsteuerrechts liegt demnach dann vor, wenn die fraglichen Güter oder Dienstleistungen nicht mehr Gegenstand von weiteren entgeltlichen Leistungen bilden (Riedo, a.a.O., S. 254 f., 260, 283).</w:t>
      </w:r>
    </w:p>
    <w:p>
      <w:r>
        <w:rPr>
          <w:b/>
        </w:rPr>
        <w:t>E. 2.5.1</w:t>
      </w:r>
    </w:p>
    <w:p>
      <w:r>
        <w:t>Übersteigen die abziehbaren Vorsteuern die geschuldete Steuer, so wird der Überschuss nach Art. 39 Abs. 1 MWSTV dem Steuerpflichtigen ausbezahlt. Die Rechtsprechung bestätigte, dass Vorsteuerüberhänge zulässig sind (Urteil des Bundesgerichts 2C.632/2007 vom 7. April 2008 E. 3; BGE 132 II 353 E. 8.4). Ferner hat sich das Bundesgericht mit der Frage auseinandergesetzt, ob der Vorsteuerabzug verweigert werden darf bei einem offensichtlichem Missverhältnis zwischen der Höhe der Vorsteuern und der Höhe der steuerbaren Umsätze. Es hat jedoch festgestellt, dass (unter dem Vorbehalt der Steuerumgehung) auch bei quantitativem Ungleichgewicht zwischen Vorsteuern und Steuern eine Verweigerung des Vorsteuerabzugs nicht gerechtfertigt ist, wenn die bezogenen Leistungen effektiv im Sinne von Art. 29 Abs. 1 und 2 MWSTV für einen geschäftlich begründeten Zweck verwendet werden. Es hat deshalb eine qualitative Prüfung zu erfolgen, wozu die bezogenen Leistungen verwendet worden sind. Die alleinige Tatsache, dass die Vorsteuern höher sind als die Steuern lässt noch nicht den Schluss zu, dass die Leistungsbezüge nicht steuerbaren Zwecken dienten (BGE 132 II 353 E. 10).</w:t>
      </w:r>
    </w:p>
    <w:p>
      <w:r>
        <w:rPr>
          <w:b/>
        </w:rPr>
        <w:t>E. 2.5.2</w:t>
      </w:r>
    </w:p>
    <w:p>
      <w:r>
        <w:t>Eine solche qualitative Prüfung entfällt, wenn ein steuerpflichtiges Unternehmen Vorsteuerguthaben geltend macht, in der Folge jedoch überhaupt keine Umsätze erwirtschaftet. Die Steuerpflicht kann zwar gemäss Art. 45 Abs. 3 MWSTV trotz Nichterzielung von weiteren Umsätzen grundsätzlich weiter bestehen, die Vorsteuerabzugsberechtigung ist hingegen aufgrund fehlender Ausgangsleistungen bzw. der fehlenden Verknüpfung mit solchen (E. 2.2 bis 2.4) zu verneinen und der vorgenommene Vorsteuerabzug rückgängig zu machen (Urteil der SRK vom 3. November 2006 [SRK 2004-029/030] E. 3c/aa bestätigt durch das Urteil des Bundesgerichts 2A.791/2006 vom 15. Januar 2007 E. 3.1, 3.2).</w:t>
      </w:r>
    </w:p>
    <w:p>
      <w:r>
        <w:rPr>
          <w:b/>
        </w:rPr>
        <w:t>E. 3.1</w:t>
      </w:r>
    </w:p>
    <w:p>
      <w:r>
        <w:t>Im vorliegenden Fall ist unbestritten, dass die Beschwerdeführerin (zumindest) seit dem 1. Januar 2000 keine Umsätze mehr erzielte, jedoch in den Abrechnungsperioden vom 1. Quartal bis 4. Quartal 2000 Vorsteuern in der Höhe von insgesamt Fr. 3'298.-- deklarierte. Wie die Beschwerdeführerin in ihrer Beschwerdeverbesserung vom 3. Februar 2006 ausführte, resultierten die Vorsteuerabzüge aus den Aufwendungen, die sie im Zusammenhang mit der Aufgabe des Betriebes (Abbau und Entsorgung der Abfüllanlage sowie des Fass- und Tanklagers etc.) hatte. Zu Recht hielt die ESTV in ihrer Vernehmlassung vom 26. Februar 2007 fest, dass zwischen diesen Ausführungen und jenen in der Einsprache vom 12. Juli 2005 dahingehend ein Widerspruch besteht, als die Beschwerdeführerin damals noch von einer Sanierungs- und Wiederaufbauphase sprach, der die in Frage stehenden Vorsteuerabzüge zuzuordnen seien.</w:t>
      </w:r>
    </w:p>
    <w:p>
      <w:r>
        <w:rPr>
          <w:b/>
        </w:rPr>
        <w:t>E. 3.2</w:t>
      </w:r>
    </w:p>
    <w:p>
      <w:r>
        <w:t>Feststeht hingegen, dass die vorliegend geltend gemachten Vorsteuerabzüge Aufwendungen betreffen, die weder direkt noch mittelbar im Zusammenhang mit einem versteuerten Umsatz stehen (E. 2.2), denn ein solcher wurde seit dem Jahr 2000 überhaupt nicht mehr erzielt (E. 2.5.2). Die entsprechenden Aufwendungen bzw. Eingangsleistungen wurden somit nicht für einen steuerbaren Ausgangsumsatz bzw. für einen steuerbaren Zweck gemäss Art. 29 Abs. 2 MWSTV verwendet (E. 2.2). Damit liegt Endverbrauch bei der Beschwerdeführerin vor, der nicht zum Vorsteuerabzug berechtigt (E. 2.4). Nicht massgebend ist, ob die Beschwerdeführerin - wie sie noch in ihrer Einsprache darlegte - von einem Wiederaufbau des Betriebes ausging und damit zukünftige Umsätze beabsichtigte. Massgebend ist die tatsächliche Verwendung der Eingangsleistung für steuerbare Ausgangsleistungen und nicht die bloss beabsichtigte Erzielung von Umsätzen (E. 2.3). Deshalb ist auch der Einwand der Beschwerdeführerin in ihrer Beschwerdeverbesserung vom 3. Februar 2006, dass die zur Diskussion stehenden MWST-Abrechnungen Bestandteil der lanjährigen Geschäftstätigkeit seien und folglich die Berechtigung zum Vorsteuerabzug gegeben sei, nicht stichhaltig. Die MWSTV knüpft das Recht auf Vorsteuerabzug nicht nur an die Unternehmenseigenschaft oder an die Steuerpflicht (E. 2.5.2), sondern - wie bereits erwähnt - an die tatsächliche Verwendung der Eingangsleistung für steuerbare Umsätze (E. 2.3).</w:t>
      </w:r>
    </w:p>
    <w:p>
      <w:r>
        <w:rPr>
          <w:b/>
        </w:rPr>
        <w:t>E. 3.3</w:t>
      </w:r>
    </w:p>
    <w:p>
      <w:r>
        <w:t>Im Weiteren sind die übrigen Ausführungen der Beschwerdeführerin, dass sie im Zusammenhang mit dem Nachlass sämtliche Pensionskassengelder in die AG investieren musste, ihr ein 3-jähriges Berufsverbot auferlegt wurde und sie auf ein Kapital von Fr. 430'000.-- verzichten musste, für die vorliegende Rechtsfrage der Vorsteuerabzugsberechtigung nicht relevant. Hinsichtlich des vorgebrachten Kapitalverzichts macht die Beschwedeführerin schliesslich zuviel bezahlte direkte Steuern geltend und verlangt deren Rückerstattung. Auf diesen Antrag kann das Bundesverwaltungsgericht jedoch mangels Zuständigkeit nicht eintreten.</w:t>
      </w:r>
    </w:p>
    <w:p>
      <w:r>
        <w:rPr>
          <w:b/>
        </w:rPr>
        <w:t>E. 4</w:t>
      </w:r>
    </w:p>
    <w:p>
      <w:r>
        <w:t>Dem Gesagten zufolge ist die Beschwerde abzuweisen, soweit darauf einzutreten ist. Bei diesem Verfahrensausgang sind der Beschwerdeführerin als unterliegender Partei sämtliche Kosten für das Beschwerdeverfahren vor dem Bundesverwaltungsgericht aufzuerlegen (vgl. Art. 63 Abs. 1 VwVG). Die Verfahrenskosten werden mit Fr. 600.-- festgesetzt und der Beschwerdeführerin zur Zahlung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