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A-1533/2006 vom 18. Mai 2010</w:t>
      </w:r>
    </w:p>
    <w:p>
      <w:r>
        <w:t>Bundesverwaltungsgericht, 2010-05-18, DE</w:t>
      </w:r>
    </w:p>
    <w:p>
      <w:r>
        <w:rPr>
          <w:b/>
        </w:rPr>
        <w:t xml:space="preserve">Quelle: </w:t>
      </w:r>
      <w:r>
        <w:t>https://mcp.opencaselaw.ch/entscheid/bvger_A-1533_2006</w:t>
      </w:r>
    </w:p>
    <w:p>
      <w:r>
        <w:t>FR: TAF A-1533/2006 du 18 mai 2010</w:t>
      </w:r>
    </w:p>
    <w:p>
      <w:r>
        <w:t>IT: TAF A-1533/2006 del 18 maggio 2010</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Verfahren.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Der Beschwerdeführer stellt sinngemäss den Antrag auf Aufhebung des Einspracheentscheids der ESTV vom 12. Dezember 2005. Die Beschwerde wird insoweit gegenstandslos, als sie sich gegen die Steuernachforderung in der Höhe von Fr. 115'000.-- zuzüglich Zins richtet. Denn wie sich aus dem Sachverhalt ergibt (vgl. Bst. E), reduzierte die ESTV die Forderung im Wiedererwägungsverfahren auf den Betrag von Fr. 38'141.25 zuzüglich Zins (vgl. zur Gegenstandslosigkeit infolge Wiedererwägung Urteil des Bundesverwaltungsgerichts A-1619/2006 vom 7. April 2009 E. 1.2). Im Übrigen hat der Beschwerdeführer den angefochtenen Entscheid frist- und formgerecht angefochten (Art. 50 und 52 VwVG). Er ist durch diesen beschwert und grundsätzlich zur Anfechtung berechtigt (Art. 48 Abs. 1 VwVG). Somit ist auf die Beschwerde einzutreten, soweit sie nicht gegenstandslos geworden ist.</w:t>
      </w:r>
    </w:p>
    <w:p>
      <w:r>
        <w:rPr>
          <w:b/>
        </w:rPr>
        <w:t>E. 1.2</w:t>
      </w:r>
    </w:p>
    <w:p>
      <w:r>
        <w:t>Am 1. Januar 2010 trat das Bundesgesetz vom 12. Juni 2009 über die Mehrwertsteuer (Mehrwertsteuergesetz, MWSTG, SR 641.20) in Kraft.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aMWSTG. Demgegenüber ist das neue mehrwertsteuerliche Verfahrensrecht im Sinne von Art. 113 Abs. 3 MWSTG auf sämtliche im Zeitpunkt des Inkrafttretens hängige Verfahren anwendbar. Allerdings ist Art. 113 Abs. 3 MWSTG insofern restriktiv auszulegen, als nur eigentliche Verfahrensnormen sofort auf hängige Verfahren anzuwenden sind, und es dabei nicht zu einer Anwendung von neuem materiellen Recht auf altrechtliche Sachverhalte kommen darf (ausführlich: Urteile des Bundesverwaltungsgerichts A-1113/2009 vom 23. Februar 2010 E. 1.3, A-4417/2007 vom 10. März 2010 E. 1.3.1). Des Weitern ist der Grundsatz der sofortigen Anwendbarkeit von neuem Prozessrecht auf hängige Verfahren in dem Sinn zu relativieren, als bezüglich verfahrensrechtlicher Neuerungen auf den Zeitpunkt abzustellen ist, in welchem sich die strittige Verfahrensfrage stellt oder darüber entschieden wurde. Hat eine Rechtsmittelbehörde zu überprüfen, ob die Vorinstanz das Verfahrensrecht richtig angewendet hat, so bleibt das Recht massgeblich, das zum Zeitpunkt der zu überprüfenden Verfahrenshandlung in Kraft stand und von der Vorinstanz angewendet werden musste, auch wenn inzwischen neues Recht in Kraft getreten sein sollte (BGE 132 V 368 E. 2.2; Urteile des Bundesverwaltungsgerichts A-5876/2008 vom 24. März 2010 E. 1.3.2, A-4417/2007 vom 10. März 2010 E. 1.3.2).</w:t>
      </w:r>
    </w:p>
    <w:p>
      <w:r>
        <w:rPr>
          <w:b/>
        </w:rPr>
        <w:t>E. 2.1</w:t>
      </w:r>
    </w:p>
    <w:p>
      <w:r>
        <w:t>Der Mehrwertsteuer unterliegen unter anderem die im Inland gegen Entgelt erbrachten Dienstleistungen (Art. 5 lit. b aMWSTG), sofern die getätigten Umsätze nicht ausdrücklich von der Steuer ausgenommen sind (Art. 18 aMWSTG). Damit ein steuerbarer Umsatz vorliegt, ist ein Leistungsaustausch erforderlich. Die Annahme eines solchen Leistungsaustausches setzt voraus, dass zwischen Dienstleistung und Entgelt eine innere wirtschaftliche Verknüpfung besteht (BGE 132 II 353 E. 4.1, 126 II 443 E. 6a; Urteile des Bundesverwaltungsgerichts A-6743/2009 vom 3. Mai 2010 E. 2.2.3, A-659/2007 vom 1. Februar 2010 E. 3.2). Die Mehrwertsteuer stellt auf wirtschaftliche Vorgänge ab und sie besteuert den wirtschaftlichen Konsum. Die Qualifikation von mehrwertsteuerlichen Vorgängen und namentlich die Beurteilung der Frage, ob eine Gegenleistung in ursächlichem Zusammenhang mit der Leistung steht, hat deshalb in erster Linie nach wirtschaftlichen, tatsächlichen Kriterien zu erfolgen (vgl. zur wirtschaftlichen Betrachtungsweise Urteile des Bundesgerichts 2C_284/2008 vom 23. September 2008 E. 2.1, 2A.304/2003 vom 14. November 2003 E. 3.6.1; Urteile des Bundesverwaltungsgerichts A-5876/2008 vom 24. März 2010 E. 2.4, A-1399/2006 vom 6. Februar 2008 E. 2.4).</w:t>
      </w:r>
    </w:p>
    <w:p>
      <w:r>
        <w:rPr>
          <w:b/>
        </w:rPr>
        <w:t>E. 2.2</w:t>
      </w:r>
    </w:p>
    <w:p>
      <w:r>
        <w:t>Zu den Steuerausnahmen gehören die Versicherungs- und Rückversicherungsumsätze einschliesslich der Umsätze aus der Tätigkeit als Versicherungsvertreter oder Versicherungsmakler (Art. 18 Ziff. 18 aMWSTG). Während der Versicherungsvertreter (Versicherungsagent) im Auftrag des Versicherers handelt, tritt der Versicherungsmakler (Versicherungsbroker) im Auftrag des Versicherungsnehmers (Kunden) auf (Urteil des Bundesverwaltungsgericht A-1559/2006 und A-1560/2006 vom 2. Dezember 2008 E. 3.2.1). Beim Versicherungsmakler entspricht es regelmässiger Geschäftspraxis, dass der Auftrag des Versicherungsnehmers an diesen nicht auf die einmalige Vermittlung einer bestimmten Versicherung beschränkt wird. Vielmehr kann der Versicherungsmakler beauftragt sein, den Versicherungsschutz seines Mandanten über ein bestimmtes Risiko oder auch dessen ganzes Versicherungsportefeuille laufend zu überwachen. Der Versicherungsmakler bedingt sich seine Vergütung als Courtage von der jeweiligen Versicherungsgesellschaft aus. Wirtschaftlich stammt die Vergütung dennoch vom Versicherungsnehmer, wenn sie im Verhältnis zur Höhe der Prämienentschädigung festgelegt wird. Die Courtage wird einerseits für die Vermittlung eines Vertragsschlusses zwischen der Versicherung und dem Mandanten des Versicherungsmaklers, anderseits aber auch für die allfällige Verwaltung des Portefeuilles des Versicherungsnehmers bezahlt. Letzteres geschieht seitens der Versicherung in der Erwartung, dass der Versicherungsmakler als Gegenleistung auf eine länger dauernde Bindung seines Mandanten an die Versicherung hinwirken werde (vgl. zum Ganzen BGE 124 III 481 E. 4 mit zahlreichen Hinweisen). Die ESTV erachtet folgende Tätigkeiten des Versicherungsmaklers als berufsspezifisch: Ermittlung des Versicherungsbedarfs (Analyse der Risiken, Erarbeitung eines Konzepts zur Risikobewältigung); Definition der Anforderungen an die Versicherungsbedingungen; Ausschreibung und Evaluation der Offerten, Preis- und Leistungsvergleiche; Verhandlung mit Versicherern; Ausarbeitung und Kontrolle der Vertragsdokumente; laufende Überprüfung des Konzepts; Unterstützung bei der Schadenabwicklung; Unterstützung im Zusammenhang mit dem Prämieninkasso (bezüglich seines Mandanten) (vgl. die Branchenbroschüre Nr. 15, Versicherungswesen, vom September 2000, gültig vom 1. Januar 2001 bis 31. Dezember 2007, Ziff. 2.2.5). Diese Praxis der ESTV zu Art. 18 Ziff. 18 aMWSTG gilt als bundesrechtskonform (Urteil des Bundesgerichts 2C_612/2007 vom 7. April 2008 E. 6.3; Urteile des Bundesverwaltungsgerichts A-1559/2006 und A-1560/2006 vom 2. Dezember 2008 E. 3.2.2, A-1639/2006 vom 27. Juni 2007 E. 2.2.2). Nach der höchstrichterlichen Rechtsprechung zu Art. 18 Ziff. 18 aMWSTG ist für die unechte Steuerbefreiung aber erforderlich, dass die Leistungen im Rahmen der Tätigkeit als Versicherungsmakler resp. -agenten erbracht werden. Vorausgesetzt wird ein unmittelbarer Zusammenhang zwischen den erbrachten Leistungen und dem Abschluss von Versicherungsverträgen. So hat das Bundesgericht die Leistungen eines von verschiedenen Krankenkassen gegründeten Vereins, welcher für seine Mitglieder bestimmte administrative Dienstleistungen im Bereich der Krankenversicherung erbrachte (z.B. Führung der Dossiers der Versicherten, Zahlungsverkehr, Informatik, Buchhaltung), der Steuer unterworfen. Es begründete dies damit, dass die Erbringung solcher Dienstleistungen zwar durchaus zu den Aufgaben eines Versicherungsagenten gehören könnten. Doch habe der Verein keine Versicherungsverträge vermittelt, und es habe daher an einem unmittelbaren Zusammenhang zwischen solchen Verträgen und den erbrachten Leistungen gefehlt (Urteil des Bundesgerichts 2C_612/2007 vom 7. April 2008 E. 3.3; bestätigt in einem die PTT-Betriebe betreffenden Urteil 2C_284/2008 vom 23. September 2008 E. 3.4). Ebenfalls nicht unter Art. 18 Ziff. 18 aMWSTG fällt das Gewinnen oder Zuführen von Kunden. Diese Tätigkeit stellt vielmehr eine Dienstleistung im Bereich der Werbung oder des Überlassens von Informationen dar. Die Entschädigung wird im englischen Sprachgebiet "finder's fee" genannt. Ungeachtet dessen, wie eine solche Entschädigung festgelegt wird, ist sie gemäss Gerichtspraxis mehrwertsteuerlich gleich zu behandeln, wie das Entgelt für andere im Bereich der Werbung erbrachte Dienstleistungen, wie beispielsweise für Inserate, Fernseh- oder Radiowerbung (Urteil des Bundesverwaltungsgerichts A-1559/2006 und A-1560/2006 vom 2. Dezember 2008 E. 3.2.3; vgl. ferner zum Begriff der "finder's fee" im Zusammenhang mit Art. 18 Ziff. 19 aMWSTG Urteil des Bundesgerichts 2C_686/2007 vom 19. Mai 2008 E. 2.3.1).</w:t>
      </w:r>
    </w:p>
    <w:p>
      <w:r>
        <w:rPr>
          <w:b/>
        </w:rPr>
        <w:t>E. 2.3</w:t>
      </w:r>
    </w:p>
    <w:p>
      <w:r>
        <w:t>Mit Bezug auf die Beweislastverteilung ergeben sich bei der Mehrwertsteuer als Selbstveranlagungssteuer keine Besonderheiten: Die Steuerbehörde trägt die Beweislast für steuerbegründende und -erhöhende, der Steuerpflichtige für steueraufhebende und -mindernde Tatsachen (Urteil des Bundesgerichts 2A.642/2004 vom 14. Juli 2005 E. 5.4, veröffentlicht in: Archiv für Schweizerisches Abgaberecht [ASA] 75 S. 495 ff.; Urteil des Bundesverwaltungsgerichts A-1561/2006 vom 5. Januar 2009 E. 2.7). Nach der im Jahr 2006 revidierten Praxis der ESTV ist das Vorliegen eines Vertrages zwischen Versicherungsmakler und Kunden (Maklervertrag) nicht mehr zwingend erforderlich für den Nachweis einer Steuerausnahme nach Art. 18 Ziff. 18 aMWSTG. (vgl. Praxismitteilung "Behandlung von Formmängeln" vom 31. Oktober 2006, Ziff. 2.9, sowie Art. 45a der Verordnung vom 29. März 2000 zum Bundesgesetz über die Mehrwertsteuer, aMWSTGV, AS 2000 1347). Ein von der Mehrwertsteuer ausgenommener Maklerumsatz kann durch Rechnungen, Verträge, Gutschriften oder andere Dokumente belegt werden. Die revidierte Praxis ist rückwirkend auf alle am 1. Juli 2006 hängigen Verfahren anwendbar (vgl. Urteil des Bundesverwaltungsgerichts A-1559/2006 und A-1560/2006 vom 2. Dezember 2008 E. 3.3).</w:t>
      </w:r>
    </w:p>
    <w:p>
      <w:r>
        <w:rPr>
          <w:b/>
        </w:rPr>
        <w:t>E. 3.1</w:t>
      </w:r>
    </w:p>
    <w:p>
      <w:r>
        <w:t>Im vorliegenden Fall ist der Beschwerdeführer dafür beweispflichtig, dass der von ihm in den massgeblichen Steuerperioden 3. Quartal 2001 bis 4. Quartal 2004 unbestrittenermassen erzielte Umsatz von Fr. 540'000.-- von der Steuer ausgenommen ist (vgl. E. 2.3 hiervor). Im Recht liegt ein so genannter "Partner-Vertrag" vom 10. Mai 2001 zwischen der Y._______ und der X._______, nachfolgend als Partner bezeichnet. Der Vertrag wurde nicht vom Beschwerdeführer selbst, sondern von seiner Ehefrau unterschrieben. Diese war gemäss Handelsregisterauszug vom 29. März 2001 als Inhaberin der X._______ eingetragen. Der "Partner-Vertrag" auferlegt dem Partner die Pflicht, der Y._______ Kunden zur Betreuung und Beratung in Finanz- und Versicherungsbelangen zu vermitteln (Vertragsziffer 2.1). Des Weitern obliegt dem Partner die Risikoberatung und Betreuung der von ihm erworbenen Kunden (Vertragsziffern 2.5 und 4.2). Als Gegenleistung hat der Partner einen Anspruch auf Ausbezahlung von Provisionen und Courtagen (Vertragsziffer 8). Die eigentliche Kundenbetreuung gegenüber den Versicherungsgesellschaften wird direkt von der Y._______ wahrgenommen, allerdings unter Wahrung der Interessen des Partners (Vertragsziffer 2.2). Für Offerten stellt der Partner den Bedarf auf und sendet die Offertstellung an die Y._______ für die Kontaktherstellung und Offerteinholung (Vertragsziffer 4.2). Sodann reichte der Beschwerdeführer Vollmachtsurkunden diverser Kunden zu den Akten, aus denen hervorgeht, dass diese die Y._______ damit beauftragen, sie in allen Versicherungsangelegenheiten rechtsgültig zu vertreten. Diese Befugnis betrifft insbesondere den mündlichen und schriftlichen Verkehr mit den Versicherungsgesellschaften. Die Vollmachtsurkunden enthalten im Übrigen den Hinweis, dass die Kunden von der X._______ betreut werden. Weiter befinden sich zwei Versicherungsofferten (Kollektiv-Lebensversicherung, Betriebsversicherung) und ein Versicherungsantrag (Kollektivversicherung) bei den Akten. In den Offerten figuriert nur die Y._______ als Berater resp. als Ansprechpartner. Die X._______ resp. der Beschwerdeführer werden darin nirgends erwähnt. Der Antrag zur Aufnahme in die Kollektivversicherung führt die Y._______ auf der ersten Seite im Briefkopf auf, während sich die Unterschrift des Beschwerdeführers in der Funktion als Berater auf der letzten Seite befindet.</w:t>
      </w:r>
    </w:p>
    <w:p>
      <w:r>
        <w:rPr>
          <w:b/>
        </w:rPr>
        <w:t>E. 3.2</w:t>
      </w:r>
    </w:p>
    <w:p>
      <w:r>
        <w:t>Gestützt auf die eingereichten Unterlagen ergibt sich folgendes Beweisergebnis: Aus den ins Recht gelegten Akten geht nirgends hervor, dass der Beschwerdeführer im Kerngeschäft des Versicherungsmaklers tätig gewesen wäre, d.h. den Abschluss von Verträgen zwischen Kunden und Versicherungen vermittelt hätte. Sämtliche Dokumente belegen im Gegenteil, dass nicht der Beschwerdeführer, sondern die Y._______ die Kunden gegenüber den Versicherungen vertrat. Laut "Partner-Vertrag" war es Aufgabe des Beschwerdeführers, der Y._______ Kunden zuzuführen. Darauf, dass der Beschwerdeführer diese Tätigkeit effektiv wahrnahm, deuten zum einen die ins Recht gelegten Vollmachten und zum andern die Versicherungsofferten. Nach dem oben Gesagten (E. 2.2) fällt die Zuführung von Kunden jedoch nicht unter die Steuerbefreiung nach Art. 18 Ziff. 18 aMWSTG, sondern gehört in den Bereich der Information und Werbung. Die daraus erzielten Umsätze sind steuerbar. Gemäss "Partner-Vertrag" oblag dem Beschwerdeführer des Weitern die Risikoberatung und die Betreuung der von ihm gewonnenen Kunden. Diese Dienstleistung kann grundsätzlich zu den Aufgaben eines Versicherungsmaklers gehören (vgl. E. 2.2 hiervor). Nach der zitierten Rechtsprechung des Bundesgerichts ist aber für die Steuerausnahme nach Art. 18 Ziff. 18 aMWSTG unabdingbar, dass die Dienstleistung in einem unmittelbaren Zusammenhang zu in der Folge abgeschlossenen Versicherungsverträgen steht (vgl. E. 2.2 hiervor). Im vorliegenden Fall muss für die Steuerausnahme daher nachgewiesen werden, dass der Beschwerdeführer die Dienstleistung der Risikoberatung effektiv erbrachte und diese Beratung zu Verträgen führte. Ganz abgesehen davon, dass der "Partner-Vertrag" nicht vom Beschwerdeführer selbst, sondern von dessen Ehefrau unterzeichnet worden war, reicht dieses Dokument nicht aus, um zu beweisen, dass der Beschwerdeführer die Dienstleistung der Risikoberatung tatsächlich erbracht hätte. Die eingereichten Vollmachten und Versicherungsofferten enthalten keine Hinweise, dass der Beschwerdeführer Kunden über Risiken informiert hätte. Der Beschwerdeführer nennt auch keine weiteren Beweise für die behauptete Tätigkeit der Risikoberatung (beispielsweise aufbewahrte Korrespondenz, Namen von Kunden, welche die Tätigkeit der Risikoberatung vor dem Bundesverwaltungsgericht bezeugen könnten). Ein unmittelbarer Zusammenhang zwischen der Beratungstätigkeit des Beschwerdeführers und konkreten Versicherungsverträgen ist nirgends aktenkundig gemacht. Damit ist dem Beschwerdeführer der Nachweis misslungen, dass die in den Steuerperioden 3. Quartal 2001 bis 4. Quartal 2004 erzielten Umsätze von insgesamt CHF 540'000.-- aus einer Tätigkeit als Versicherungsmakler im Sinne von Art. 18 Ziff. 18 aMWSTG stammen. Der wiedererwägungsweise erlassene Entscheid der ESTV, wonach die in der genannten Zeitspanne erzielten Umsätze zu versteuern sind, ist demnach zu bestätigen.</w:t>
      </w:r>
    </w:p>
    <w:p>
      <w:r>
        <w:rPr>
          <w:b/>
        </w:rPr>
        <w:t>E. 4</w:t>
      </w:r>
    </w:p>
    <w:p>
      <w:r>
        <w:t>Nach dem Gesagten ist die Beschwerde abzuweisen, soweit sie sich nicht als gegenstandslos erweist. Die Kosten für das Beschwerdeverfahren, welche auf Fr. 2'500.-- festgesetzt werden, sind dem Beschwerdeführer aufzuerlegen (vgl. Art. 63 Abs. 1 VwVG) und mit dem geleisteten Kostenvorschuss zu verrechnen. Ausgangsgemäss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