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A-1526/2018 vom 13. Mai 2019</w:t>
      </w:r>
    </w:p>
    <w:p>
      <w:r>
        <w:t>Bundesverwaltungsgericht, 2019-05-13, DE</w:t>
      </w:r>
    </w:p>
    <w:p>
      <w:r>
        <w:rPr>
          <w:b/>
        </w:rPr>
        <w:t xml:space="preserve">Quelle: </w:t>
      </w:r>
      <w:r>
        <w:t>https://mcp.opencaselaw.ch/entscheid/bvger_A-1526_2018</w:t>
      </w:r>
    </w:p>
    <w:p>
      <w:r>
        <w:t>FR: TAF A-1526/2018 du 13 mai 2019</w:t>
      </w:r>
    </w:p>
    <w:p>
      <w:r>
        <w:t>IT: TAF A-1526/2018 del 13 maggio 2019</w:t>
      </w:r>
    </w:p>
    <w:p>
      <w:pPr>
        <w:pStyle w:val="Heading2"/>
      </w:pPr>
      <w:r>
        <w:t>Regeste</w:t>
      </w:r>
    </w:p>
    <w:p>
      <w:r>
        <w:t>Elektrische Anlagen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Gemäss dem hier noch anwendbaren Energiegesetz vom 26. Juni 1998 und der dazugehörigen Verordnung (Art. 25 Abs. 1bis aEnG [AS 1999 197]; in Kraft gewesen bis zum 31. Dezember 2017 i.V.m. Art. 23 des Stromversorgungsgesetzes vom 23. März 2007 [StromVG, SR 734.7] und Art. 33 Bst. f VGG; vgl. Urteil des Bundesgerichts [BGer] 2C_180/2017 vom 10. Januar 2018 E. 2) sind Entscheide der Vorinstanz beim Bundesverwaltungsgericht anfechtbar (vgl. Urteil des Bundesverwaltungsgerichts [BVGer] A-5871/2016 vom 21. Februar 2018 E. 1.1). Da keine Ausnahme gemäss Art. 32 VGG vorliegt, ist das Bundesverwaltungsgericht zur Beurteilung der vorliegenden Beschwerde zuständig (Art. 31 VGG und Art. 44 VwVG).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durch die angefochtene Verfügung besonders berührt ist und ein schutzwürdiges Interesse an der Aufhebung oder Änderung hat. Der Beschwerdeführer ist als Verfahrensbeteiligter formeller Adressat der angefochtenen Verfügung und durch diese auch materiell beschwert. Er ist deshalb zur Erhebung der vorliegenden Beschwerde legitimiert. Auf die im Übrigen form- und fristgerecht eingereichte Beschwerde vom 12. März 2018 (vgl. Art. 50 Abs. 1 und Art. 52 Abs. 1 VwVG) ist somit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In letzterem Punkt auferlegt es sich jedoch eine gewisse Zurückhaltung, wenn technische Fragen zu beurteilen sind oder die Vorinstanz gestützt auf die eigene Fachkompetenz oder die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bestätigt mit Urteil des BGer 2C_645/2018 vom 28. September 2018 E. 3.5; ferner Urteil des BVGer A-702/2016 vom 26. März 2019 E. 2.1).</w:t>
      </w:r>
    </w:p>
    <w:p>
      <w:r>
        <w:rPr>
          <w:b/>
        </w:rPr>
        <w:t>E. 2.2</w:t>
      </w:r>
    </w:p>
    <w:p>
      <w:r>
        <w:t>Weiter wendet das Bundesverwaltungsgericht das Recht von Amtes wegen an und ist nicht an die Anträge oder die rechtlichen Begründungen der Parteien gebunden (Art. 62 Abs. 4 VwVG; vgl. statt vieler Urteil des BVGer A-1493/2017 vom 12. Juli 2017 E. 2). Dabei würdigt es die Beweise frei, ohne Bindung an förmliche Beweisregeln sowie umfassend und pflichtgemäss (Grundsatz der freien Beweiswürdigung; vgl. Art. 19 VwVG i.V.m. Art. 40 des Bundesgesetzes über den Bundeszivilprozess vom 4. Dezember 1947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3.1</w:t>
      </w:r>
    </w:p>
    <w:p>
      <w:r>
        <w:t>Gemäss Art. 89 Abs. 1 der Bundesverfassung (BV, SR 101) setzen sich Bund und Kantone im Rahmen ihrer Zuständigkeiten für eine umweltverträgliche Energieversorgung ein. Art. 1 Abs. 2 Bst. c aEnG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aEnG). Die Regelung der Einzelheiten delegiert das Gesetz an den Bundesrat, der die Details in der aEnV geregelt hat.</w:t>
      </w:r>
    </w:p>
    <w:p>
      <w:r>
        <w:rPr>
          <w:b/>
        </w:rPr>
        <w:t>E. 3.2</w:t>
      </w:r>
    </w:p>
    <w:p>
      <w:r>
        <w:t>Für die Administration der KEV ist die Erstinstanz als nationale Netzgesellschaft verantwortlich (Art. 3g ff. aEnV und Art. 18 ff. StromVG). Sie ist zuständig für die Erhebung der Beiträge, aus denen die KEV gespeist wird (Zuschläge auf die Übertragungskosten der Hochspannungsnetze, sog. Netzzuschläge; Art. 15b aEnG), und wickelt namentlich das Zulassungsverfahren zur KEV und deren Auszahlung ab (Art. 3g ff. aEnV). Die KEV wird aus einem Fonds gespeist, in den die Netzzuschläge fliessen (vgl. Art. 3k aEnV i.V.m. Art. 15b Abs. 5 aEnG; zum Ganzen Urteile des BVGer A-4730/2014 vom 17. September 2015 E. 3.1 und A-2895/2014 vom 17. Dezember 2014 E. 3.1 jeweils m.w.H.).</w:t>
      </w:r>
    </w:p>
    <w:p>
      <w:r>
        <w:rPr>
          <w:b/>
        </w:rPr>
        <w:t>E. 3.3</w:t>
      </w:r>
    </w:p>
    <w:p>
      <w:r>
        <w:t>Das Anmelde- und Bescheidverfahren wird durch die Anmeldung einer PV-Anlage bei der Erstinstanz eingeleitet (Art. 3g aEnV). Die Anmeldung enthält unter anderem Angaben zur Kategorie der Anlage und zum geplanten Inbetriebnahmedatum (Anhang 1.2 Ziff. 5.1 aEnV). Die Erstinstanz prüft anschliessend, ob die Anspruchsvoraussetzungen voraussichtlich gegeben sind. Das Resultat der Prüfung wird dem Antragsteller in einem Bescheid mitgeteilt (Art. 3g Abs. 3 aEnV). Fällt dieser positiv aus, hat er die Anlage anschliessend innert 15 Monaten in Betrieb zu nehmen und die Inbetriebnahme der Erstinstanz zu melden (Art. 1.2 Ziff. 5.3 i.V.m. Art. 3h Abs. 2 aEnV). Diese teilt dem Antragsteller daraufhin den (definitiven) Vergütungssatz gemäss Art. 3b Abs. 1bis aEnV mit (Art. 3h Abs. 3 aEnV).</w:t>
      </w:r>
    </w:p>
    <w:p>
      <w:r>
        <w:rPr>
          <w:b/>
        </w:rPr>
        <w:t>E. 3.4</w:t>
      </w:r>
    </w:p>
    <w:p>
      <w:r>
        <w:t>Die konkrete Höhe der Vergütungssätze für die verschiedenen Technologien lässt sich aufgrund der in den Anhängen zur aEnV festgesetzten Grundlagen berechnen und erfolgt schematisch, nicht abgestimmt auf eine individuelle Anlage (Art. 3b aEnV). Abs. 1bis derselben Bestimmung regelt, dass sich der Vergütungssatz für eine bestimmte Anlage aufgrund der im Erstellungsjahr geltenden Vorgaben ergibt und grundsätzlich während der ganzen Vergütungsdauer gleichbleibt. Art. 3b Abs. 2 aEnV legt ferner fest, dass sich die Vergütung aufgrund des Vergütungssatzes und der zu vergütenden Elektrizität berechnet. Aus Abs. 3 der Norm ergibt sich sodann, dass als Erstellungsjahr das Jahr der tatsächlichen Inbetriebnahme der Anlage gilt.</w:t>
      </w:r>
    </w:p>
    <w:p>
      <w:r>
        <w:rPr>
          <w:b/>
        </w:rPr>
        <w:t>E. 4.1</w:t>
      </w:r>
    </w:p>
    <w:p>
      <w:r>
        <w:t>In Anhang 1.2 aEnV, welche aufgrund des Datums der Inbetriebnahme der streitbetroffenen Anlage im Dezember 2012 auf den vorliegenden Fall Anwendung findet, werden drei Kategorien von Anlagen unterschieden: Neben den hier nicht interessierenden freistehenden Anlagen (Ziff. 2.1) bezeichnet die Verordnung die angebauten Anlagen sowie die integrierten Anlagen: Als "angebaut" gelten Anlagen, welche konstruktiv mit Bauten oder sonstigen Infrastrukturanlagen verbunden sind und einzig der Stromproduktion dienen, beispielsweise auf Flachdächern mittels Befestigungssystemen oder auf einem Ziegeldach montierte Module (Ziff. 2.2). "Integriert" sind demgegenüber Anlagen, welche in Bauten derart angebracht bzw. verbaut sind, dass sie eine Doppelfunktion wahrnehmen, beispielsweise Photovoltaik-Module anstelle von Ziegeln oder Fassadenelementen sowie in Schallschutzwänden integrierte Module (Ziff. 2.3). Gemäss dem Ausgeführten setzt die hier anwendbare Fassung der Energieverordnung für die Qualifikation einer PV-Anlage als integriert demnach die kumulative Erfüllung von zwei Erfordernissen voraus: Zum einen muss die Anlage effektiv baulich integriert und nicht nur (wie die angebauten Anlagen) konstruktiv mit der Baute verbunden sein. Zum andern muss die Anlage eine Doppelfunktion ausüben, d.h. nebst der Primärfunktion der Energiegewinnung noch eine zweite Aufgabe (z.B. Wetterschutz) erfüllen (siehe zum Ganzen Urteil des BGer 2C_180/2017 vom 10. Januar 2018 E. 2; Urteile des BVGer A-4730/2014 vom 17. September 2015 E. 4.1 und A-2895/2014 vom 17. Dezember 2014 E. 5).</w:t>
      </w:r>
    </w:p>
    <w:p>
      <w:r>
        <w:rPr>
          <w:b/>
        </w:rPr>
        <w:t>E. 4.2</w:t>
      </w:r>
    </w:p>
    <w:p>
      <w:r>
        <w:t>Das Bundesamt für Energie (BFE) hat als Vollzugshilfe zum Anhang 1.2 der aEnV mehrere Richtlinien erlassen, welche die Bestimmungen betreffend Photovoltaik erläutern und präzisieren. Diese bezwecken die Förderung einer einheitlichen Vollzugspraxis, ohne jedoch Gesetzeskraft aufzuweisen (vgl. Urteil des BVGer A-3314/2014 vom 20. Januar 2015 E. 3.3). Für das vorliegende Verfahren einschlägig ist die "Richtlinie kostendeckende Einspeisevergütung (KEV), Art. 7a EnG, Photovoltaik Anhang 1.2 EnV" in der Version vom 1. Oktober 2011, gültig bis Ende 2013 (nachfolgend: KEV-RL 2011), welche in Ziff. 3 drei sogenannte Leitsätze zu Ziff. 2.3 des Anhangs 1.2 der aEnV enthielt: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Leitsatz 3 betrifft Speziallösungen für eingekapselte Module und ist vorliegend nicht relevant.</w:t>
      </w:r>
    </w:p>
    <w:p>
      <w:r>
        <w:rPr>
          <w:b/>
        </w:rPr>
        <w:t>E. 4.3</w:t>
      </w:r>
    </w:p>
    <w:p>
      <w:r>
        <w:t>Die KEV-RL 2011 wurde vom BFE per 1. Januar 2014 angepasst, wonach z.B. Hagelfestigkeit oder Brandschutzfunktion nicht als eigenständige Funktion bewertet werden. Konstruktionen, welche nur den Anschein von Integriertheit erwecken - beispielsweise durch grossflächige Spenglereinfassungen oder breite Randabschlüsse -, gelten nicht als "integriert". Andere Aspekte, wie etwa Fragen der Ästhetik, sind für die Qualifizierung als integrierte Anlage für die KEV nicht massgebend (vgl. eingehend Urteile des BVGer A-1493/2017 vom 12. Juli 2017 E. 4.2.2; A-5561/2016 vom 17. Mai 2016 E. 4.2). Mit dieser Revision der einschlägigen KEV-Richtlinie wurde die bereits im Verlauf des Jahres 2013 vorgenommene Praxisänderung umgesetzt, wonach die Gleichsetzung der bloss optisch oder "scheinintegrierten" mit den tatsächlich integrierten PV-Anlagen aufgehoben wurde (vgl. Urteil des BVGer A-84/2015 vom 8. Dezember 2015 E. 7). Wie das Bundesverwaltungsgericht festhielt, erfolgte diese Praxisänderung zu Recht (vgl. Urteil A-4730/2014 E. 6).</w:t>
      </w:r>
    </w:p>
    <w:p>
      <w:r>
        <w:rPr>
          <w:b/>
        </w:rPr>
        <w:t>E. 5</w:t>
      </w:r>
    </w:p>
    <w:p>
      <w:r>
        <w:t>Vorliegend ist umstritten, ob die PV-Anlage des Beschwerdeführers als "integrierte" Anlage zu qualifizieren ist oder als "angebaut".</w:t>
      </w:r>
    </w:p>
    <w:p>
      <w:r>
        <w:rPr>
          <w:b/>
        </w:rPr>
        <w:t>E. 5.1</w:t>
      </w:r>
    </w:p>
    <w:p>
      <w:r>
        <w:t>Die Erstinstanz ist der Ansicht, die streitbetroffene PV-Anlage erfülle keine Doppelfunktion. Die Anlage sei auf das bestehende Dach montiert worden, weshalb keine Dachintegration vorliege. Die neu vorgenommene Kategorisierung im Bescheid vom 2. April 2015 als "angebaut" sei korrekt erfolgt. Die Vorinstanz verweist diesbezüglich auf die Begründung in der angefochtenen Verfügung, welche die Beurteilung der Erstinstanz schützt. Der Beschwerdeführer hält dem entgegen, seine Anlage habe bei der Inbetriebnahme 2012 alle Voraussetzungen der Integriertheit erfüllt, weshalb die 2014 erfolgte Praxisänderung für ihn unbeachtlich sei. Er habe in gutem Glauben davon ausgehen dürfen, eine optisch integrierte Anlage erstellt zu haben, was am 9. April 2013 auch entsprechend beglaubigt worden sei. Er habe darum davon ausgehen dürfen, er werde den höheren Vergütungssatz erhalten, zumal die Anlage so gebaut sei, dass sie eine vollständig homogene Gebäudeoberfläche bilde.</w:t>
      </w:r>
    </w:p>
    <w:p>
      <w:r>
        <w:rPr>
          <w:b/>
        </w:rPr>
        <w:t>E. 5.2</w:t>
      </w:r>
    </w:p>
    <w:p>
      <w:r>
        <w:t>Weder die Erstinstanz noch die Vorinstanz hat die PV-Anlage als "integriert" qualifiziert. Die Beglaubigung durch die akkreditierte Inspektionsstelle vom 9. April 2013 ist für die Beurteilung, ob eine angebaute oder integrierte Anlage vorliegt, nicht ausschlaggebend, zumal sie noch unter der alten, nunmehr überholten Praxis erfolgte. Wird eine Anlage in der Konformitätsbeglaubigung falsch qualifiziert, korrigiert die Erstinstanz dies in ihrem Bescheid (vgl. Urteil A-5561/2016 E. 5.4). In ihrem Bescheid vom 2. April 2015 ist die Erstinstanz von einer angebauten Anlage ausgegangen.</w:t>
      </w:r>
    </w:p>
    <w:p>
      <w:r>
        <w:rPr>
          <w:b/>
        </w:rPr>
        <w:t>E. 5.3</w:t>
      </w:r>
    </w:p>
    <w:p>
      <w:r>
        <w:t>Wie vorne (vgl. E. 4.1 f.) bereits dargelegt wurde, muss eine integrierte PV-Anlage im Sinne der aEnV kumulativ zwei Voraussetzungen erfüllen: Die Anlage muss einerseits in die Baute integriert sein und andererseits eine Doppelfunktion erfüllen. Aus den Fotoaufnahmen und aus den weiteren Unterlagen wird erkennbar, dass die strittige PV-Anlage auf das Dach aufgebaut und nicht tatsächlich ins Gebäude integriert wurde. Es wurden keine Elemente des ursprünglichen Dachs entfernt und durch Modulfelder ersetzt. Aus diesem Grund ist bereits die Voraussetzung der baulichen Integration nicht erfüllt und es kann keine tatsächlich integrierte Anlage im Sinne von Anhang 1.2 Ziff. 2.3 aEnV vorliegen. Dies gilt unabhängig davon, ob die Photovoltaikanlage eine Doppelfunktion wahrnimmt oder nicht. Dass die PV-Anlage des Beschwerdeführers neben der Stromproduktion auch dem Witterungsschutz sowie der Trockenlagerung des Tierfutters dient, bleibt somit unbeachtlich, solange die Anlage baulich nicht integriert wurde. Daran ändern auch die vorgenommenen Spenglereinfassungen nichts, da sie nur den Anschein von Integriertheit erwecken und Fragen der Ästhetik für die Qualifizierung als integrierte Anlage für die KEV eben gerade nicht massgebend sind (vgl. eingehend Urteile A-1493/2017 E. 4.2.2 und E. 5.4.2 und A-5561/2016 E. 4.2 und E. 5.1.1). Stellt die Erstinstanz bei ihrer eigenen Prüfung, ob die Anspruchsvoraussetzungen voraussichtlich gegeben sind (vgl. Art. 3g Abs. 3 aEnV) oder bei der Festsetzung des Vergütungssatzes (vgl. Art. 3h Abs. 3 aEnV) fest, dass eine Anlage in einer Beglaubigung falsch qualifiziert wurde, korrigiert sie dies in ihrem Bescheid. Dieser Bescheid kann - wie bereits vorne erwähnt - anschliessend der Vorinstanz zur Prüfung vorgelegt werden. Diese hat die PV-Anlage im vorliegenden Fall richtigerweise als angebaute Anlage qualifiziert; folglich besteht kein Anspruch auf den KEV-Satz für "integrierte" PV-Anlagen. Die Beschwerde ist in diesem Punkt deshalb abzuweisen.</w:t>
      </w:r>
    </w:p>
    <w:p>
      <w:r>
        <w:rPr>
          <w:b/>
        </w:rPr>
        <w:t>E. 6</w:t>
      </w:r>
    </w:p>
    <w:p>
      <w:r>
        <w:t>Weiter beantragt der Beschwerdeführer, dass ihm die entstandenen Mehrkosten vollumfänglich zu ersetzen sind. Zwischen den Parteien ist diesbezüglich umstritten, wie hoch die Entschädigung für die verbauten Blindmodule auszufallen hat.</w:t>
      </w:r>
    </w:p>
    <w:p>
      <w:r>
        <w:rPr>
          <w:b/>
        </w:rPr>
        <w:t>E. 6.1</w:t>
      </w:r>
    </w:p>
    <w:p>
      <w:r>
        <w:t>Der Beschwerdeführer rügt die Berechnung des Vertrauensschadens nicht gesamthaft, sondern erachtet lediglich den von der Vorinstanz zugestandenen Ersatz der Kosten für die Blindmodule als fehlerhaft bzw. zu niedrig. Er verlangt, pro verbautem Blindmodul mit Fr. 155.60 entschädigt zu werden (insg. 141 Blindmodule = Total Fr. 21'939.60). Im Rahmen des Beschwerdeverfahrens offeriert er als Beweis neu die Stückliste des Unternehmers, der die PV-Anlage installiert hatte. Die Vorinstanz beantragt Beschwerdeabweisung und führt dazu aus, sie habe den erlittenen Vertrauensschaden nicht konkret berechnen können, weil der Beschwerdeführer die einzelnen Schadenspositionen nicht mit Zahlungsbestätigungen habe nachweisen können und gewisse Positionen Teil des Gesamtpreises der PV-Anlage gewesen seien. Sie habe den Vertrauensschaden darum geschätzt und ihrer Berechnung pro verbautem Quadratmeter Blindmodul eine Paulschale von Fr. 80.- zu Grunde gelegt. Der Beschwerdeführer lege neu ein Dokument vor, das Hinweise bezüglich des Preises der 54 transparenten Blindmodule enthalte. Einen Beweis in Form eines Zahlungsbelegs erbringe er jedoch noch immer nicht. Die angewandte Quadratmeterpauschale rechtfertige sich auch, weil bei der Montage der Blindmodule Kosten anfielen, die sich nur als beschränkt proportional zur Grösse der einzelnen Module verhalte. Die Pauschale könne sodann nicht isoliert von den übrigen Schadenspositionen betrachtet werden, weil für die Zubereitung und die Montage der Blindmodule gemäss der eingereichten Stückliste kein Zuschlag auf deren Kosten enthalten sei. Auch falle mit Blick auf die Stückliste auf, dass die tatsächlichen Spenglerkosten für die optische Integration deutlich tiefer lägen als im Verfahren vor der Vorinstanz behauptet, weshalb bei einer Neuberechnung des Vertrauensschadens ebenfalls die Position der Spenglerkosten geändert werden müsste und dort ein Abzug zu erfolgen hätte. Die Erstinstanz beantragt, die Beschwerde abzuweisen, äussert sich aber dahingehend, dass aufgrund der neu eingebrachten Stückliste ein Preis von Fr. 155.60 für alle Module plausibel erscheine und erachtet eine entsprechende Entschädigung als angemessen.</w:t>
      </w:r>
    </w:p>
    <w:p>
      <w:r>
        <w:rPr>
          <w:b/>
        </w:rPr>
        <w:t>E. 6.2</w:t>
      </w:r>
    </w:p>
    <w:p>
      <w:r>
        <w:t>Ist der in ihrem Vertrauen zu schützenden Person - wie vorliegend infolge Scheinintegriertheit - eine Entschädigung zuzusprechen, ist ihr in der Regel der effektiv entstandene Vertrauensschaden (sog. negatives Interesse; im Gegensatz zum positiven bzw. Erfüllungsinteresse) zu ersetzen (Urteile des BVGer A-565/2018 vom 11. April 2018 E. 2.3.1; A-4809/2016 vom 26. Januar 2017 E. 5.4; A-84/2015 vom 8. Dezember 2015 E. 9.1 jeweils m.w.H.). Die betroffene Person ist grundsätzlich so zu stellen, wie wenn sie die gestützt auf die Vertrauensgrundlage vorgenommenen Dispositionen nicht getroffen hätte. Der Vertrauensschaden bzw. das negative Interesse entspricht mithin dem Total der durch die Vertrauensgrundlage ausgelösten Investitionen (vgl. Urteil des BGer 2C_960/2013 vom 28. Oktober 2014 E. 4.5.4 und 4.6.3; siehe ferner Urteil A-4730/2014 E. 7.4.4 und 8.3 m.w.H.); ausnahmsweise kann sich aber auch die teilweise Entschädigung der getätigten Aufwendungen rechtfertigen, wenn eine Blockierung staatlicher Aktivitäten droht (vgl. dazu Urteile A-565/2018 E. 2.3.1 und A-5561/2016 E. 6.2).</w:t>
      </w:r>
    </w:p>
    <w:p>
      <w:r>
        <w:rPr>
          <w:b/>
        </w:rPr>
        <w:t>E. 6.3</w:t>
      </w:r>
    </w:p>
    <w:p>
      <w:r>
        <w:t>Die Vorinstanz berechnete den Ersatz der Kosten für die verbauten Blindmodule in der angefochtenen Verfügung vom 8. Februar 2018 gestützt auf die Grösse der PV-Anlage von total 180.15m2 und ging mangels Nachweis der effektiv entstandenen Kosten von einem Durchschnittspreis von Fr. 80.- pro verbautem Quadratmeter Blindmodulfläche aus (Total = Fr. 14'412). Die Festsetzung des zugrunde gelegten Quadratmeterdurchschnittspreises ermittelte sie anhand von Referenzpreisen dreier Anbieter, bei denen für vergleichbare Blindmodule pro Quadratmeter mit einem Preis von Fr. 30.- bis Fr. 80.- zu rechnen sei. Zu Gunsten des Beschwerdeführers ging die Vorinstanz dabei vom Höchstsatz der eruierten Referenzpreise von Fr. 80.- aus.</w:t>
      </w:r>
    </w:p>
    <w:p>
      <w:r>
        <w:rPr>
          <w:b/>
        </w:rPr>
        <w:t>E. 6.4</w:t>
      </w:r>
    </w:p>
    <w:p>
      <w:r>
        <w:t>Die Differenz zwischen der durch die Vorinstanz berechneten Schadensposition für den Ersatz der verbauten Blindmodule und der vom Beschwerdeführer hierfür verlangten Summe beträgt Fr. 7'527.60. Die von der Vorinstanz ermittelte Schadenssumme (Fr. 14'412) kann zum Antrag des Beschwerdeführers (Fr. 21'939.60) erst durch Umrechnung in direkte Relation gesetzt werden, weil die Vorinstanz ihre Berechnung auf einen Quadratmeterdurchschnittspreis Blindmodulfläche und der Beschwerdeführer seinen Antrag auf den Stückpreis pro Blindmodul stützt. Umgerechnet anerkannte die Vorinstanz bei einer Gesamtzahl von 141 Blindmodulen einen Schadenersatz von Fr. 102.20 pro Blindmodul; der Beschwerdeführer verlangt Fr. 155.60. Angesichts der ins Recht gelegten Stückliste erscheint es zumindest plausibel, wenn auch mangels Nachweis über die effektiv entstanden bzw. bezahlten Kosten nicht als erwiesen, dass der Beschwerdeführer für 54 der insgesamt 141 Blindmodule Fr. 155.60 pro Stück bezahlt hat. Der Stückliste ist aber auch zu entnehmen, dass die Spenglerarbeiten an den Dachrändern für die optische Integriertheit mit Fr. 8'125.- veranschlagt ist, und damit deutlich unter demjenigen Wert liegt, den die Vorinstanz bei Fr. 28'715.30 für diese Schadensposition aufgrund der Vorbringen des Beschwerdeführers festgelegt hatte. Eine entsprechende Reduktion dieser Schadensposition läge nicht im Interesse des Beschwerdeführers. Ungeachtet dessen ist der Preis für die 87 verbleibenden lichtundurchlässigen Blindmodule nicht anhand von Dokumenten nachgewiesen.</w:t>
      </w:r>
    </w:p>
    <w:p>
      <w:r>
        <w:rPr>
          <w:b/>
        </w:rPr>
        <w:t>E. 6.5</w:t>
      </w:r>
    </w:p>
    <w:p>
      <w:r>
        <w:t>Falls sich der effektive Vertrauensschaden ganz oder teilweise nicht ermitteln lässt, kann (und muss) er geschätzt werden und es ist eine Pauschale zuzusprechen (vgl. Art. 52 Abs. 2 des Obligationenrechts [OR, SR 220] analog; ferner BGE 121 V 71 E. 2d). Dasselbe gilt, wenn die exakte Bezifferung des Schadens nur mit unverhältnismässigem Aufwand möglich und deshalb nicht zumutbar ist (vgl. statt vieler BGE 134 III 306 E. 4.1.2; Urteil des BGer 4A_397/2016 vom 30. November 2016 E. 5.1 m.w.H.; Urteile A-5561/2016 E. 6.3.2 und A-565/2018 E. 2.3.1).</w:t>
      </w:r>
    </w:p>
    <w:p>
      <w:r>
        <w:rPr>
          <w:b/>
        </w:rPr>
        <w:t>E. 6.6</w:t>
      </w:r>
    </w:p>
    <w:p>
      <w:r>
        <w:t>Vorliegend lässt sich der effektiv erlittene Vertrauensschaden nicht genau beziffern. Dies ist darauf zurückzuführen, dass Nachweise über die tatsächlich entstandenen Kosten für die optische Integriertheit bzw. Scheinintegriertheit der streitbetroffenen PV-Anlage fehlen. Daran ändert auch die neu ins Recht gelegte Stückliste nichts. Als Fachbehörde amtet die Vorinstanz in einem höchst technischen Bereich, in dem Fachfragen sowohl im Bereich der Stromversorgung als auch ökonomischer Ausrichtung zu beantworten sind. Ihr steht dabei - wie anderen Behördenkommissionen auch - ein eigentliches "technisches Ermessen" zu (vgl. Urteil A-4809/2016 E. 2). Bei der Beurteilung von Fachfragen darf ihr daher ein gewisser Ermessens- und Beurteilungsspielraum belassen werden, soweit sie die für den Entscheid wesentlichen Gesichtspunkte geprüft und die erforderlichen Abklärungen sorgfältig und umfassend vorgenommen hat (zum Ganzen statt vieler Urteil des BVGer A-7561/2015 vom 8. November 2016 E. 2.2 m.w.H.). Die Vorinstanz hat den Sachverhalt soweit möglich umfassend abgeklärt und ihren Berechnungen für die Blindmodule einen Quadratmeterdurchschnittspreis von Fr. 80.- zugrunde gelegt. Sie stützt sich dabei auf Referenzpreise anderer Anbieter. Die Berechnung der einzelnen Schadenspositionen zeigt sie objektiv nachvollziehbar auf. Selbst wenn für die 54 Blindmodule ein Vertrauensschaden von Fr. 155.60 je Modul einberechnet würde (= 88.2 m2), würde der Beschwerdeführer für die verbleibende Blindmodulfläche von 91.95 m2 mit Fr. 69.- je Modul bzw. mit Fr. 65.35 pro Quadratmeter entschädigt. Bei Referenzpreisen zwischen Fr. 30.- und Fr. 80.- pro Quadratmeter entspricht dies einer Entschädigung, welche immer noch im oberen Drittel des von der Vorinstanz ermittelten Referenzbands anzusiedeln wäre. Eine Korrektur der Berechnung des Vertrauensschadens durch die Vorinstanz ist daher nicht angebracht. Vielmehr erscheint die vorinstanzlich zugesprochene Entschädigung von insgesamt Fr. 50'177.30 im vorliegenden Fall unter Berücksichtigung aller ins Recht gelegten Akten im Resultat als angemessen.</w:t>
      </w:r>
    </w:p>
    <w:p>
      <w:r>
        <w:rPr>
          <w:b/>
        </w:rPr>
        <w:t>E. 7</w:t>
      </w:r>
    </w:p>
    <w:p>
      <w:r>
        <w:t>Zusammenfassend ist die Beschwerde somit abzuweisen und die Ver-fügung der Vorinstanz vom 12. Februar 2018 zu bestätigen.</w:t>
      </w:r>
    </w:p>
    <w:p>
      <w:r>
        <w:rPr>
          <w:b/>
        </w:rPr>
        <w:t>E. 8.1</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Betrag ist dem einbezahlten Kostenvorschuss in der Höhe von Fr. 2'700.- zu entnehmen. Der Restbetrag von Fr. 1'200.- ist dem Beschwerdeführer nach Eintritt der Rechtskraft des vorliegenden Urteils zurückzuerstatten.</w:t>
      </w:r>
    </w:p>
    <w:p>
      <w:r>
        <w:rPr>
          <w:b/>
        </w:rPr>
        <w:t>E. 8.2</w:t>
      </w:r>
    </w:p>
    <w:p>
      <w:r>
        <w:t>Dem unterliegenden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