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A-1511/2006 vom 3. September 2007</w:t>
      </w:r>
    </w:p>
    <w:p>
      <w:r>
        <w:t>Bundesverwaltungsgericht, 2007-09-03, DE</w:t>
      </w:r>
    </w:p>
    <w:p>
      <w:r>
        <w:rPr>
          <w:b/>
        </w:rPr>
        <w:t xml:space="preserve">Quelle: </w:t>
      </w:r>
      <w:r>
        <w:t>https://mcp.opencaselaw.ch/entscheid/bvger_A-1511_2006</w:t>
      </w:r>
    </w:p>
    <w:p>
      <w:r>
        <w:t>FR: TAF A-1511/2006 du 3 septembre 2007</w:t>
      </w:r>
    </w:p>
    <w:p>
      <w:r>
        <w:t>IT: TAF A-1511/2006 del 3 settembre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19. September 2005 frist- und auch formgerecht angefochten (Art. 50 und 52 VwVG). Sie ist durch diesen beschwert und grundsätzlich zur Anfechtung berechtigt (Art. 48 VwVG). Der Antrag der Beschwerdeführerin, die ESTV sei zu verpflichten, den zurückgeforderten Betrag "auf das Konto Nr. ... der Y._______AG bei der ..." zu überweisen, betrifft Modalitäten der Vollstreckung, die vor dem Bundesverwaltungsgericht nicht justiziabel sind. Abgesehen von diesem Begehren, im Falle einer Gutheissung der Beschwerde sei das Guthaben auf das genannte Konto zu zahlen, ist auf die Beschwerde einzutreten.</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30. September 2003). Soweit sich hingegen der Sachverhalt vor Inkrafttreten des MWSTG zugetragen hat (1. Januar 1998 bis 31. Dezember 2000), ist auf die vorliegende Beschwerde grundsätzlich noch die Verordnung vom 22. Juni 1994 über die Mehrwertsteuer (MWSTV von 1994, AS 1994 1464) anwendbar (Art. 93 und 94 MWSTG).</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2.1</w:t>
      </w:r>
    </w:p>
    <w:p>
      <w:r>
        <w:t>Der Mehrwertsteuer unterliegen u.a. die im Inland gegen Entgelt erbrachten Dienstleistungen sowie unter gewissen Umständen der entgeltliche Dienstleistungsbezug aus dem Ausland (Art. 5 Bst. b und d MWSTG; Art. 4 Bst. b und d MWSTV).</w:t>
      </w:r>
    </w:p>
    <w:p>
      <w:r>
        <w:rPr>
          <w:b/>
        </w:rPr>
        <w:t>E. 2.2.1</w:t>
      </w:r>
    </w:p>
    <w:p>
      <w:r>
        <w:t>Der Bezug von Dienstleistungen aus dem Ausland ist mehrwertsteuerlich wie folgt geregelt: Nach dem MWSTG hat der Empfänger den Bezug einer Dienstleistung zu versteuern, wenn er nach Art. 24 steuerpflichtig ist und sofern: a) es sich um eine unter Art. 14 Abs. 3 fallende Dienstleistung handelt, die ein im Inland nicht steuerpflichtiger Unternehmer mit Sitz im Ausland im Inland erbringt, der nicht nach Art. 27 für die Steuerpflicht optiert; oder b) es sich um eine unter Art. 14 Abs. 1 fallende steuerbare Dienstleistung handelt, die der Empfänger mit Sitz im Inland aus dem Ausland bezieht und zur Nutzung oder Auswertung im Inland verwendet (Art. 10 MWSTG). Laut MWSTV muss der inländisch ansässige Empfänger die steuerbare Dienstleistung aus dem Ausland versteuern, wenn er sie zur Nutzung oder Auswertung im Inland verwendet und sofern er nach Art. 18 steuerpflichtig ist (Art. 9 MWSTV).</w:t>
      </w:r>
    </w:p>
    <w:p>
      <w:r>
        <w:rPr>
          <w:b/>
        </w:rPr>
        <w:t>E. 2.2.2</w:t>
      </w:r>
    </w:p>
    <w:p>
      <w:r>
        <w:t>In der Verwaltungspraxis wird Näheres zum steuerbaren Dienstleistungsbezug und dessen Voraussetzungen, namentlich zur Nutzung und Auswertung im Inland, festgelegt (betreffend MWSTG: s. Wegleitung 2001 zur Mehrwertsteuer, Rz. 513; Merkblatt Nr. 6 über grenzüberschreitende Dienstleistungen; Abgrenzung Lieferung/Dienstleistung, Ziff. 3.3; betreffend MWSTV: Merkblatt Nr. 13 über die Steuerbefreiung von bestimmten ins Ausland erbrachten oder aus dem Ausland bezogenen Dienstleistungen vom 31. Januar 1997, Ziff. 9 bzw. Ziff. 1-6).</w:t>
      </w:r>
    </w:p>
    <w:p>
      <w:r>
        <w:rPr>
          <w:b/>
        </w:rPr>
        <w:t>E. 2.2.3</w:t>
      </w:r>
    </w:p>
    <w:p>
      <w:r>
        <w:t>Nach der Rechtsprechung ist das Kriterium der "Nutzung und Auswertung" der Dienstleistung beim Bezug aus dem Ausland grundsätzlich in gleicher Weise anzuwenden und auszulegen wie beim Dienstleistungsexport (gemäss Art. 15 Abs. 2 Bst. l MWSTV), wenn auch mit umgekehrten Vorzeichen. So werde beim Dienstleistungsexport für den Fall des ausländischen Geschäfts- bzw. Wohnsitzes des Leistungsempfängers im Sinne einer Vermutung - allenfalls zusammen mit anderen Hinweisen in Fakturakopien, Zahlungsbelegen, Vertragsschriften etc. - angenommen, die Dienstleistung werde auch im Ausland verbraucht (d. h. dort zur Nutzung oder Auswertung verwendet). Umgekehrt dürfe beim Dienstleistungsbezug aus dem Ausland davon ausgegangen werden, die Dienstleistung werde in der Schweiz zur Nutzung und Auswertung verwendet, wenn der Leistungsempfänger inländischen Geschäfts- bzw. Wohnsitz verzeichne (allenfalls in Verbindung mit anderen Hinweisen; zum Ganzen: Entscheid der SRK vom 27. Juli 2006, veröffentlicht in Verwaltungspraxis der Bundesbehörden [VPB] 70.103 E. 2c/aa und E 2c/bb, mit zahlreichen Hinweisen auf die Rechtsprechung; s. auch Entscheid der SRK vom 22. Mai 2001, veröffentlicht in VPB 65.103 E. 8e). Allerdings sei diese Vermutung der Nutzung und Auswertung der Dienstleistung nach dem Empfängerort widerlegbar (Entscheid der SRK vom 27. Juli 2006, a.a.O., E 2c/bb; Entscheid der SRK 2002-051 vom 30. Juni 2003 E. 2c, 3b).</w:t>
      </w:r>
    </w:p>
    <w:p>
      <w:r>
        <w:rPr>
          <w:b/>
        </w:rPr>
        <w:t>E. 2.3</w:t>
      </w:r>
    </w:p>
    <w:p>
      <w:r>
        <w:t>Als Ort einer Dienstleistung gilt unter Vorbehalt von Abs. 2 und 3 der Ort, an dem die Dienst leistende Person den Sitz ihrer wirtschaftlichen Tätigkeit oder eine Betriebsstätte hat, von wo aus die Dienstleistung erbracht wird (Erbringerortsprinzip als Regel; Art. 14 Abs. 1 MWSTG). Als Ort der nachfolgend aufgeführten Dienstleistungen gilt der Ort, an dem der Empfänger den Sitz seiner wirtschaftlichen Tätigkeit oder eine Betriebsstätte hat, für welche die Dienstleistungen erbracht werden (Empfängerortsprinzip als Ausnahme): a) Abtretung und Einräumung von Immaterialgüter- und ähnlichen Rechten; b) Leistungen auf dem Gebiet der Werbung; c) Leistungen von Beratern, Vermögensverwaltern, Treuhändern, Inkassobüros, Ingenieuren, Studienbüros, Anwälten, Notaren (vorbehältlich Abs. 2 Bst. a), Buchprüfern, Dolmetschern und Übersetzern, Managementdienstleistungen sowie sonstige ähnliche Leistungen; d) die Datenverarbeitung, die Überlassung von Informationen und ähnliche Dienstleistungen; e) Telekommunikationsdienstleistungen; f) der gänzliche oder teilweise Verzicht, eine gewerbliche oder berufliche Tätigkeit auszuüben oder ein in diesem Absatz genanntes Recht wahrzunehmen; g) der Personalverleih; h) Bank-, Finanz- und Versicherungsumsätze, einschliesslich Rückversicherungsumsätze, ausgenommen die Vermietung von Schliessfächern (Art. 14 Abs. 3 MWSTG). Nach der MWSTV wird der Ort einer Dienstleistung vorbehältlich hier nicht interessierender Ausnahmen ebenfalls nach dem Erbringerortsprinzip bestimmt (Art. 12 MWSTV).</w:t>
      </w:r>
    </w:p>
    <w:p>
      <w:r>
        <w:rPr>
          <w:b/>
        </w:rPr>
        <w:t>E. 2.4</w:t>
      </w:r>
    </w:p>
    <w:p>
      <w:r>
        <w:t>Damit eine steuerbare Dienstleistung überhaupt vorliegt, muss sie im Austausch mit einer Gegenleistung (Entgelt) erfolgen. Die Entgeltlichkeit stellt ein unabdingbares Tatbestandsmerkmal einer mehrwertsteuerlichen Leistung dar (Ausnahme: Eigenverbrauch [Art. 5 Bst. c MWSTG; Art. 4 Bst. c MWSTV]).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in VPB 67.49 E. 2a cc). Die Annahme eines solchen Leistungsaustausches setzt voraus, dass zwischen Leistung und Gegenleistung eine innere wirtschaftliche Verknüpfung gegeben ist (BGE 126 II 443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 des Bundesverwaltungsgerichts vom 25. Mai 2007, a.a.O, E. 2.2).</w:t>
      </w:r>
    </w:p>
    <w:p>
      <w:r>
        <w:rPr>
          <w:b/>
        </w:rPr>
        <w:t>E. 2.5</w:t>
      </w:r>
    </w:p>
    <w:p>
      <w:r>
        <w:t>Auch die Steuerbarkeit von Leistungen zwischen Gesellschaft und Gesellschaftern hängt vom Vorhandensein eines mehrwertsteuerlichen Leistungsaustausches nach den allgemeinen Regeln (E. 2.4 hievor)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Namentlich kommt kein mehrwertsteuerlicher Leistungsaustausch zustande bei der ordentlichen Gewinn- und Verlustbeteiligung (Urteil des Bundesverwaltungsgerichts A-1439/2006 vom 18. Juni 2007 E. 2.5; Entscheide der SRK 2003-164 vom 17. Oktober 2006 E. 2c und d, 2003-177 vom 27. März 2006 E. 2d/bb, 2002-153 vom 3. Mai 2005 E. 3b und c, Entscheid der SRK vom 12. Oktober 2001, veröffentlicht in VPB 66.42 E. 5c/cc; Alois Camenzind/Niklaus Honauer/Klaus A. Vallender, Handbuch zum Mehrwertsteuergesetz [MWSTG], Bern 2003, 2. Aufl., Rz. 422; vgl. auch Jean-Marc Rivier/Annie Rochat Pauchard, Droit fiscal suisse, La taxe sur la valeur ajoutée, Lausanne 2000, S. 244). Nach neuerer Rechtsprechung haben Kapitaleinlagen von Gesellschaftern, mit welchen ein Aktionär eine Unternehmung über Eigenkapital finanziert (gleich wie Darlehen eines Aktionärs, d.h. bei Finanzierung über Fremdkapital), anders als Spenden von Gesellschaftern grundsätzlich keine verhältnismässige Vorsteuerkürzung im Sinne von Art. 38 Abs. 8 MWSTG bzw. Art. 30 Abs. 6 MWSTV zur Folge. Denn Kapitaleinlagen (wie auch Darlehen) stellten reine Finanzierungsmassnahmen dar, welche der Gesellschaft die Ausübung ihrer Tätigkeit überhaupt erst erlauben. Im Unterschied zu Subventionen und Spenden ergänzten sie nicht den Umsatz der Gesellschaft, sondern stellten einzig den Finanzbedarf sicher (BGE 132 II 353 E. 6.4, 7.1, 7.2, 9.3; Urteil des Bundesgerichts 2A.410/2006 vom 18. Januar 2007 E. 5.3). Dasselbe habe neben den Kapitaleinlagen auch für Finanzierungen mittels anderer Gesellschafterbeiträge wie Forderungsverzichten, Zinsverzichten, à-fonds-perdu-Zahlungen usw. zu gelten (vgl. BGE 132 II 353 E. 6.4, 7.2; Urteil des Bundesverwaltungsgerichts A-1345/2006 vom 12. Juni 2007 E. 3.2 und 3.4). Die genannten Beiträge, welche zu keiner Kürzung des Vorsteuerabzugs führen, erfolgen unentgeltlich und stehen deshalb ausserhalb des Geltungsbereichs der Mehrwertsteuer, soweit es sich nicht um Zahlungen gemäss Art. 18 Ziff. 19 MWSTG bzw. Art. 14 Ziff. 15 MWSTV handelt (betreffend Kapitaleinlagen s. bereits Entscheid der SRK vom 17. Oktober 2006, a.a.O., E. 2c und d). So wird denn in der Literatur allgemein die Meinung vertreten, reine Finanzierungs-, Verlustdeckungs- oder Sanierungsbeiträge und dergleichen wiesen keinen Entgeltscharakter auf (Ivo P. Baumgartner, mwst.com, a.a.O., ad Art. 33 Rz. 41; Diego Clavadetscher, mwst.com, a.a.O., ad Art. 38 Abs. 8 Rz. 16; Pierre-Marie Glauser, Nouvelle jurisprudence concernant le traitement des subventions au regard de la TVA, veröffentlicht in Der Schweizer Treuhänder (ST) 4/99, S. 409 ff.), wenn sie in erster Linie darauf abzielen, den wirtschaftlichen Fortbestand der Unternehmung sicherzustellen und nicht darauf, konkrete Leistungen abzugelten (Daniel Riedo, Problemfall Subvention im Mehrwertsteuerrecht, veröffentlicht in Festschrift SRK, Lausanne 2004, S. 131). Nicht anders hat es sich zu verhalten, wenn solche unentgeltliche Beiträge an die Gesellschaft durch ihre Gesellschafter erfolgen. Sie bleiben durch den Anwendungsbereich der Mehrwertsteuer unerfasst.</w:t>
      </w:r>
    </w:p>
    <w:p>
      <w:r>
        <w:rPr>
          <w:b/>
        </w:rPr>
        <w:t>E. 3.1</w:t>
      </w:r>
    </w:p>
    <w:p>
      <w:r>
        <w:t>Gemäss Gesellschaftsvertrag der X._______ ... GmbH mit Sitz in ... ist Gegenstand des Unternehmens der An- und Verkauf von elektrischer Energie und anderen Energien wie Gas, Wärme etc. sowie der Handel mit Energiedienstleistungen aller Art. In der fraglichen Zeit bildeten die Beschwerdeführerin und ihre Tochtergesellschaften (A._______ AG, B._______ AG, C._______ AG und D._______ AG) gleichzeitig Gesellschafterinnen der X._______ ... GmbH. Die Beschwerdeführerin besass 25% der Stammanteile. Die Aufgabe der X._______ ... GmbH bestand nach Angaben der Verfahrensbeteiligten darin, durch aktive Marktbearbeitung in ... der X._______-Gruppe einen neuen Absatzmarkt, inbesondere für Elektrizität, zu erschliessen. Im "Memorandum of understanding" vom 11. November 1998 gab sich die X._______-Gruppe vor, die X.________ ... GmbH exklusiv mit der gemeinsam beschafften Energie zu versorgen und diese damit in die Lage zu versetzen, marktfähige Angebote abzugeben und kostendeckend zu arbeiten; trete dennoch eine Kostenunterdeckung auf, würden die Beschwerdeführerin, die A._______ AG, B._______ AG, C._______ AG sowie die D._______ AG diese entsprechend ihrer Beteiligungsquote übernehmen (Memorandum, a.a.O., S. 2). Die GmbH belieferte am ... Strommarkt im Wesentlichen Industriekunden und Weiterverteiler mit Energie und erwirtschaftete in den Geschäftsjahren 1999/2000 und 2001/2002 Verluste, welche u. a. die Beschwerdeführerin entsprechend ihrer Stammanteile zu übernehmen hatte. Die ESTV erhob darauf die Steuer zum Normalsatz, was zur noch im Streit liegenden Nachforderung in Höhe von Fr. ... führte. In der Verlustdeckung erblickt die Vorinstanz das Entgelt der Beschwerdeführerin für steuerbare Dienstleistungen, welche diese von der X._______ ... GmbH bezogen habe und darin bestanden hätten, in ... den Absatzmarkt exklusiv für die X._______-Gruppe aufzubauen.</w:t>
      </w:r>
    </w:p>
    <w:p>
      <w:r>
        <w:rPr>
          <w:b/>
        </w:rPr>
        <w:t>E. 3.2.1</w:t>
      </w:r>
    </w:p>
    <w:p>
      <w:r>
        <w:t>Da es sich bei dieser Art von Dienstleistungen, welche die Vorinstanz der Beschwerdeführerin vorhält, ganz offensichtlich um keine solchen handelt, die (für die Zeit ab 1. Januar 2001) unter Art. 14 Abs. 3 MWSTG fallen, ist für ihren steuerbaren Bezug aus dem Ausland in casu vorausgesetzt, dass sie durch die Beschwerdeführerin im Inland genutzt oder ausgewertet wurden (E. 2.2.1 hievor). Bei der Nutzung oder Auswertung handelt es sich um eine unabdingbare Tatbestandsvoraussetzung des steuerbaren Dienstleistungsbezugs aus dem Ausland. Weder die Vorinstanz noch die Beschwerdeführerin äussern sich dazu, weshalb sich das Bundesverwaltungsgericht zur diesbezüglichen Prüfung von Amtes wegen veranlasst sieht.</w:t>
      </w:r>
    </w:p>
    <w:p>
      <w:r>
        <w:rPr>
          <w:b/>
        </w:rPr>
        <w:t>E. 3.2.2</w:t>
      </w:r>
    </w:p>
    <w:p>
      <w:r>
        <w:t>Wollte mit der Vorinstanz davon ausgegangen werden, die Dienstleistung der X._______ ... GmbH an die Beschwerdeführerin habe darin bestanden, exklusiv für diese (und die übrigen Gesellschaften der X._______ Gruppe) den Absatzmarkt ... zu erschliessen, damit sie ihren Umsatz habe erhöhen können, dann ist nicht ersichtlich, inwiefern eine Nutzung oder Auswertung im Inland stattgefunden hatte. Den Absatzmarkt ... erschloss die GmbH für sich selbst, bestand ihre Tätigkeit doch im An- und Verkauf von elektrischer Energie und anderen Energien wie Gas, Wärme etc. sowie im Handel mit Energiedienstleistungen aller Art. Diese Tätigkeit übte sie unbestrittenermassen selbständig und im eigenen Namen in ... aus. Die Nutzung und Auswertung einer Markterschliessung erfolgte infolgessen in ... und nicht in der Schweiz. Wenn vom Absatz in ... wirtschaftlich auch die anderen Mitglieder der X._______-Gruppe (bzw. die Gesellschafterinnen der X._______ ... GmbH) profitierten, dann lag dies im Beteiligungsverhältnis begründet und löste für sich noch keine Dienstleistung an die Beschwerdeführerin als Gesellschafterin aus (vgl. E. 3.3 hienach). Nicht anders verhält es sich mit der beabsichtigten Umsatzsteigerung durch die Markterschliessung. Zunächst einmal erschloss die GmbH den ... Markt wiederum für den eigens und selbständig erzielten Umsatz mit Energie. Überdies handelte es sich, wie die Vorinstanz selbst betont, bei der Beschwerdeführerin um eine reine Holdinggesellschaft, die selbst weder Energie produzierte noch damit handelte (solches hätte auch dem beschwerdeführerischen Gesellschaftszweck widersprochen [vgl. Sachverhalt A hievor]). Als Energielieferantinnen der X._______ ... GmbH traten vielmehr die selbständigen Tochtergesellschaften der Beschwerdeführerin auf. Eine eigentliche Erhöhung des Umsatzes mit Energie konnte folglich bei der Beschwerdeführerin gar nicht stattfinden mit der Folge, dass auch diesbezüglich eine Nutzung und Auswertung im Inland fehlte. Wenn eine Umsatzsteigerung der GmbH in ... sich positiv auf die Beschwerdeführerin als deren Gesellschafterin auswirkte, dann liegen die Gründe wiederum im Beteiligungsverhältnis und nicht in einem Dienstleistungsbezug. Wäre vorliegend überhaupt von Dienstleistungen an die Beschwerdeführerin auszugehen, wie sie von der ESTV geltend gemacht werden, dann ist aufgrund der Aktenlage folglich erstellt, dass sie in Deutschland und nicht im Inland zur Nutzung und Auswertung verwendet wurden. Weder aus den gesetzlichen Vorschriften noch aus der Verwaltungspraxis (s. E. 2.2.1 und 2.2.2 hievor) lässt sich Gegenteiliges ableiten. Die Vermutung, wonach die behaupteten Dienstleistungen am Sitz der Beschwerdeführerin, also im Inland, genutzt oder ausgewertet gelten (vgl. E. 2.2.3 hievor), hat als widerlegt zu gelten. Die Tatbestandsvoraussetzungen des steuerbaren Dienstleistungsbezugs aus dem Ausland sind nicht erfüllt. Die Beschwerde ist bereits aus diesem Grund gutzuheissen. Die Steuer ist im umstrittenen Umfang der Beschwerdeführerin zuzüglich Vergütungszins in Folgeleistung des Art. 48 Abs. 4 MWSTG bzw. Art. 39 Abs. 4 MWSTV zurückzubezahlen.</w:t>
      </w:r>
    </w:p>
    <w:p>
      <w:r>
        <w:rPr>
          <w:b/>
        </w:rPr>
        <w:t>E. 3.3</w:t>
      </w:r>
    </w:p>
    <w:p>
      <w:r>
        <w:t>Die Beschwerde wäre auch unter einem anderem Gesichtspunkt gutzuheissen. Erklärtes Ziel für die X._______ ... GmbH war, die unverzügliche Marktpräsenz in ... und wettbewerbsfähige Preise zu erzielen. Mit der gemeinsamen Beschaffung der Energie durch die X._______-Gruppe sollte die GmbH in die Lage versetzt werden, marktfähige Angebote an ... Kunden abzugeben und kostendeckend zu arbeiten. Für den Fall, dass die GmbH dennoch Verluste erwirtschaftete, waren deren Gesellschafterinnen gehalten, diese zu decken (E. 3.1 hievor; Memorandum, a.a.O., S. 2; vgl. Beschwerdebeilage 27). So hat die Beschwerdeführerin (und die anderen Gesellschafterinnen der GmbH) mittels "nicht rückzahlbaren Zuschüssen" (s. Vereinbarung zwischen der GmbH und deren Gesellschafterinnen vom 31. März 2000) die in Rede stehenden Verluste der GmbH übernommen (vgl. Vernehmlassungsbeilage 3). Die fraglichen Zuschüsse stellten reine Finanzierungsmassnahmen der Beschwerdeführerin als Gesellschafterin dar, welche der X._______ ... GmbH die Ausübung und Fortführung ihrer Tätigkeit (Umsatz mit Energie) überhaupt erst ermöglichten. Weder ergänzten sie den Umsatz der GmbH noch hatten sie Leistungen irgendwelcher Art an die Beschwerdeführerin als Gesellschafterin abgegolten, sondern stellten einzig den Finanzbedarf der GmbH sicher (E. 2.5 hievor). Insbesondere kann nicht gesagt werden, die GmbH habe der Beschwerdeführerin eine Dienstleistung erbracht, indem sie den ... Markt erschloss oder dank der Verlustübernahmen mit der Erschliessung weiterfahren konnte. Die X._______ ... GmbH, welche am ... Markt als selbständige Energielieferantin auftrat, tat dies in erster Linie für sich selbst und ihre eigene Umsatzsteigerung (E. 3.2.2 hievor). Selbstverständlich lag eine Fortführung der Tätigkeit der X._______ ... GmbH im ureigensten wirtschaftlichen Interesse der Beschwerdeführerin. Die Erfüllung dieses Interesses lag vorliegendenfalls aber einzig im Gesellschafterverhältnis begründet, erschöpft sich darin und vermochte für sich noch keine mehrwertsteuerliche Leistung zu begründen (vgl. E. 3.2.2 hievor). Die Beschwerdeführerin deckte die Verluste der GmbH nicht im Austausch mit einer Leistung im Sinne des Mehrwertsteuerrechts. Ein Dienstleistungsbezug aus dem Ausland, wie ihn die ESTV der Beschwerdeführerin vorhält, fand nicht statt. Dass die Beschwerdeführerin (und die anderen Gesellschafterinnen) die Verlustdeckung über ein Darlehen eines Dritten vorfinanzierte (s. Vereinbarung zwischen der GmbH und deren Gesellschafterinnen vom 31. März 2000), ändert an diesem Ergebnis ebenso wenig wie der Umstand, dass die GmbH einen Zuschuss für "Marketingaktivitäten" in Rechnung stellte (Vernehmlassungsbeilage 5). Auf diese unrichtige Bezeichnung kann nicht abgestellt werden, nachdem erstellt ist, dass die GmbH in ... den Umsatz mit Energie als unabhängige Unternehmung erzielte (E. 3.1 und 3.2.2 hievor) und folglich der Beschwerdeführerin bezüglich dieses Umsatzes keinerlei Marketing-Dienstleistungen erbrachte.</w:t>
      </w:r>
    </w:p>
    <w:p>
      <w:r>
        <w:rPr>
          <w:b/>
        </w:rPr>
        <w:t>E. 3.4</w:t>
      </w:r>
    </w:p>
    <w:p>
      <w:r>
        <w:t>Erfolgte im vorliegenden Fall die Verlustfinanzierung durch die Beschwerdeführerin unentgeltlich (E. 3.3 hievor), steht gleichzeitig fest, dass sie nicht in einem mehrwertsteuerlichen Leistungsaustausch, welcher ein unabdingbares Tatbestandsmerkmal für die Steuerbarkeit von Dienstleistungen darstellt (E. 2.4 und 2.5 hievor), erfolgte. Auf die Ausführungen der Verfahrensbeteiligten zum Leistungsaustausch und dessen Voraussetzungen braucht vorliegend deshalb nicht näher eingegangen zu werden. Angemerkt sei an dieser Stelle lediglich, dass im Lichte der voranstehenden Erwägungen die Beschwerdeführerin teils überzeugend darlegt, es mangle an einer Leistung der X._______ ... GmbH an sie sowie an einem entsprechenden mehrwertsteuerlichen Entgelt.</w:t>
      </w:r>
    </w:p>
    <w:p>
      <w:r>
        <w:rPr>
          <w:b/>
        </w:rPr>
        <w:t>E. 3.5</w:t>
      </w:r>
    </w:p>
    <w:p>
      <w:r>
        <w:t>Folglich ist die Beschwerde im Sinne der Erwägungen gutzuheissen, soweit darauf einzutreten ist. Bei diesem Verfahrensausgang sind weder der Beschwerdeführerin noch der ESTV Verfahrenskosten aufzuerlegen (Art. 63 Abs. 1 und 2 VwVG). Der Kostenvorschuss (Fr. 7'000.--) ist nach Eintritt der Rechtskraft des vorliegenden Entscheids zurückzuerstatten. Die Vorinstanz hat der obsiegenden Beschwerdeführerin eine Parteientschädigung von antragsgemäss insgesamt Fr. 8'600.-- (inkl. Mehrwertsteuer) auszurichten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