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A-1502/2020 vom 17. August 2021</w:t>
      </w:r>
    </w:p>
    <w:p>
      <w:r>
        <w:t>Bundesverwaltungsgericht, 2021-08-17, DE</w:t>
      </w:r>
    </w:p>
    <w:p>
      <w:r>
        <w:rPr>
          <w:b/>
        </w:rPr>
        <w:t xml:space="preserve">Quelle: </w:t>
      </w:r>
      <w:r>
        <w:t>https://mcp.opencaselaw.ch/entscheid/bvger_A-1502_2020</w:t>
      </w:r>
    </w:p>
    <w:p>
      <w:r>
        <w:t>FR: TAF A-1502/2020 du 17 août 2021</w:t>
      </w:r>
    </w:p>
    <w:p>
      <w:r>
        <w:t>IT: TAF A-1502/2020 del 17 agosto 2021</w:t>
      </w:r>
    </w:p>
    <w:p>
      <w:pPr>
        <w:pStyle w:val="Heading2"/>
      </w:pPr>
      <w:r>
        <w:t>Regeste</w:t>
      </w:r>
    </w:p>
    <w:p>
      <w:r>
        <w:t>Amtshilfe</w:t>
      </w:r>
    </w:p>
    <w:p>
      <w:pPr>
        <w:pStyle w:val="Heading2"/>
      </w:pPr>
      <w:r>
        <w:t>Erwägungen</w:t>
      </w:r>
    </w:p>
    <w:p>
      <w:r>
        <w:rPr>
          <w:b/>
        </w:rPr>
        <w:t>E. 1.1</w:t>
      </w:r>
    </w:p>
    <w:p>
      <w:r>
        <w:t>Dem vorliegenden Verfahren liegt ein Amtshilfeersuchen der STA gestützt auf das DBA CH-SE zugrunde, welches am 13. August 2019 eingereicht wurde. Die Durchführung der mit diesem Abkommen vereinbarten Bestimmungen richtet sich nach dem Bundesgesetz vom 28. September 2012 über die internationale Amtshilfe in Steuersachen (StAhiG, SR 651.1; Art. 1 Abs. 1 StAhiG und Art. 24 StAhiG e contrario). Das Bundesverwaltungsgericht ist zur Beurteilung von Beschwerden gegen Schlussverfügungen der ESTV betreffend die Amtshilfe gestützt auf das DBA CH-SE zuständig (vgl. Art. 19 Abs. 5 StAhiG i.V.m. Art. 31-33 VGG).</w:t>
      </w:r>
    </w:p>
    <w:p>
      <w:r>
        <w:rPr>
          <w:b/>
        </w:rPr>
        <w:t>E. 1.2</w:t>
      </w:r>
    </w:p>
    <w:p>
      <w:r>
        <w:t>Das Verfahren vor diesem Gericht richtet sich nach dem VwVG, soweit das VGG oder das StAhiG nichts Anderes bestimmen (Art. 37 VGG und Art. 19 Abs. 5 StAhiG).</w:t>
      </w:r>
    </w:p>
    <w:p>
      <w:r>
        <w:rPr>
          <w:b/>
        </w:rPr>
        <w:t>E. 1.3.1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b),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(vgl. nachfolgend E. 2.2.2)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sowie 139 II 404 E. 11.1; Urteil des BVGer A-4017/2020 vom 30. Juni 2021 E. 1.4.1). Aus dieser Rechtsprechung ergibt sich, dass sich eine allfällige Beschwerdelegitimation von Personen, welche von einem Amtshilfeersuchen nicht formell betroffen sind (vgl. dazu E. 2.1.1) in jedem Fall darauf beschränkt,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(vgl. in diesem Sinne BGE 139 II 404 E. 11.1, wo erwogen wurde, dass gemäss bundesgerichtlicher Rechtsprechung im Bereich der internationalen Rechtshilfe in Strafsachen eine natürliche oder juristische Person zu Rechtsmitteln legitimiert sei, wenn sie von der verlangten Rechtshilfemassnahme unmittelbar betroffen werde [vgl. dazu nachfolgend E. 2.1]. Für bloss indirekt Betroffene, insbesondere Personen, die zwar in den erhobenen Unterlagen erwähnt würden, aber nicht direkt von Zwangsmassnahmen betroffen bzw. Inhaber von sichergestellten Dokumenten seien, sei die Beschwerdebefugnis grundsätzlich zu verneinen).</w:t>
      </w:r>
    </w:p>
    <w:p>
      <w:r>
        <w:rPr>
          <w:b/>
        </w:rPr>
        <w:t>E. 1.3.2</w:t>
      </w:r>
    </w:p>
    <w:p>
      <w:r>
        <w:t>Der Beschwerdeführer 1 ist als die vom vorliegenden Amtshilfeersuchen direkt betroffene Person ohne Weiteres zur Beschwerde legitimiert. Dasselbe gilt für die Beschwerdeführerin 2, welche ebenfalls Adressatin der angefochtenen Schlussverfügung ist. Auch der Beschwerdeführer 3, welcher zwar nicht die Möglichkeit erhalten hat, am vorinstanzlichen Verfahren teilzunehmen, dessen Daten jedoch in den zur Übermittlung vorgesehenen Unterlagen vorkommen und unredigiert an die ersuchende Behörde gehen sollen, ist - innerhalb der in Erwägung 1.3.1 genannten Schranken - zur Beschwerde gegen die Schlussverfügung vom 11. Februar 2020 legitimiert (vgl. BGE 143 II 506 E. 5.4.1 f., vgl. Urteile des BVGer A-4017/2020 vom 30. Juni 2021 E. 1.4.1 f., A-6854/2018 vom 3. März 2020 E. 1.3.1). Dies wird denn auch von der Vorinstanz nicht in Frage gestellt.</w:t>
      </w:r>
    </w:p>
    <w:p>
      <w:r>
        <w:rPr>
          <w:b/>
        </w:rPr>
        <w:t>E. 1.3.3</w:t>
      </w:r>
    </w:p>
    <w:p>
      <w:r>
        <w:t>Auf Rechtsmittel, welche stellvertretend für Dritte - vorliegend zahlreiche von den Beschwerdeführenden genannte Drittpersonen, deren Daten ebenfalls in den zu übermittelnden Unterlagen erscheinen - bzw. in deren Interesse erhoben werden, ist gemäss bundesgerichtlicher Recht-sprechung nicht einzutreten (vgl. BGE 139 II 404 E. 11.1, 137 IV 134 E. 5.2.2, Urteil des BVGer A-6854/2018 vom 3. März 2020 E. 1.3.2).</w:t>
      </w:r>
    </w:p>
    <w:p>
      <w:r>
        <w:rPr>
          <w:b/>
        </w:rPr>
        <w:t>E. 1.4</w:t>
      </w:r>
    </w:p>
    <w:p>
      <w:r>
        <w:t>Nach dem Gesagten ist auf die im Übrigen form- und fristgerecht eingereichte Beschwerde - unter Vorbehalt des in Erwägung 1.3.3 Dargelegten - einzutreten (vgl. Art. 50 Abs. 1 VwVG und Art. 52 Abs. 1 VwVG i.V.m. Art. 19 Abs. 5 StAhiG).</w:t>
      </w:r>
    </w:p>
    <w:p>
      <w:r>
        <w:rPr>
          <w:b/>
        </w:rPr>
        <w:t>E. 1.5</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1.6</w:t>
      </w:r>
    </w:p>
    <w:p>
      <w:r>
        <w:t>Nach dem Grundsatz der Rechtsanwendung von Amtes wegen ist das Bundesverwaltungsgericht verpflichtet, auf den unter Mitwirkung der Verfahrensbeteiligen festgestellten Sachverhalt die richtigen Rechts-normen und damit jenen Rechtssatz anzuwenden, den es als den zutreffenden erachtet, und ihm jene Auslegung zu geben, von der es überzeugt ist (Moser/Beusch/Kneubühler, a.a.O., N 1.54 unter Verweis auf BGE 119 V 347 E. 1a). Aus dem Grundsatz der Rechtsanwendung von Amtes wegen folgt sodann, dass das Bundesverwaltungsgericht als Beschwerdeinstanz nicht an die rechtliche Begründung der Begehren gebunden ist (vgl. Art. 62 Abs. 4 VwVG).</w:t>
      </w:r>
    </w:p>
    <w:p>
      <w:r>
        <w:rPr>
          <w:b/>
        </w:rPr>
        <w:t>E. 2.1.1</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 2019 vom 2. Dezember 2020 E. 2.7.1 und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ff., 5623; statt vieler: Urteil des BVGer A-3791/ 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BGE 144 II 29 E. 4.2.2 ff.; 143 II 506 E. 5.2.1; 142 II 161 E. 4.6.1; Urteile des BGer 2C_67/2021 vom 28. Januar 2021 E. 3.1, 2C_387/2016 vom 5. März 2018 E. 5.1 in fine; Urteil des BVGer A-3972/2019 vom 22. März 2021 E. 3.5.3).</w:t>
      </w:r>
    </w:p>
    <w:p>
      <w:r>
        <w:rPr>
          <w:b/>
        </w:rPr>
        <w:t>E. 2.1.2</w:t>
      </w:r>
    </w:p>
    <w:p>
      <w:r>
        <w:t>Betreffend die Tragweite der Verfahrensgarantien von Personen, die vom Verfahren der internationalen Amtshilfe in Steuersachen nicht direkt betroffen sind, deren Name im Verfahren aber erscheint, hat sich das Bundesgericht jüngst geäussert. Es hat festgehalten, dass die ESTV gemäss Art. 14 Abs. 2 StAhiG nur gehalten sei, die vom Verfahren der Amtshilfe nicht betroffenen Personen, deren Name aber in den zur Übermittlung vorgesehenen Unterlagen erscheine, über den Bestand dieses Verfahrens zu informieren, wenn deren Beschwerderecht im Sinne von Art. 19 Abs. 2 StAhiG aus den Akten klarerweise hervorgehe bzw. «evident» sei (vgl. dazu BGE 146 I 172 E. 7.3.1 f.; Urteile des BGer 2C_687/2019 vom 13. Juli 2020 E. 6.2 und 6.3.1). Gemäss Bundesgericht liefe es dem in der Steueramtshilfe besonders bedeutsamen Beschleunigungsgebot zuwider, wenn die ESTV auch Personen informieren müsste, deren Beschwerdeberechtigung nicht offensichtlich sei (vgl. dazu BGE 146 I 172 E. 6.2 und 7.3.1; 2C_687/2019 vom 13. Juli 2020 E. 6.2 und 6.3.1). Zudem schütze das Spezialitätsprinzip Dritte vor der Verwendung ihrer Informationen durch den ersuchenden Staat (BGE 147 II 13 E. 3.5; vgl. vorangehend E. 1.3.1 und nachfolgend E. 2.2.1 f.). Entsprechend sei die Praxis der ESTV, welche die Parteieigenschaft jenen Personen zuerkenne, die sich bei ihr melden und um Schwärzung der sie betreffenden Auskünfte ersuchen, nicht zu beanstanden (BGE 146 I 172 E. 7.3.3). Daraus folge auch, dass eine im Einzelfall allenfalls falsche Entscheidung der Vorinstanz (über die Frage der Information von Drittbetroffenen) nicht die Nichtigkeit der angefochtenen Schlussverfügung zur Folge habe (vgl. BGE 146 I 172 E. 7.6; Urteile des BVGer A-4192/2020 vom 25. März 2021 E. 2.2.1, A-6859/2019 vom 2. Dezember 2020 E. 2.7.1 und A-2981/2019 vom 1. September 2020 E. 2.1.5).</w:t>
      </w:r>
    </w:p>
    <w:p>
      <w:r>
        <w:rPr>
          <w:b/>
        </w:rPr>
        <w:t>E. 2.2.1</w:t>
      </w:r>
    </w:p>
    <w:p>
      <w:r>
        <w:t>Ein wichtiges Element der internationalen Behördenzusammenarbeit bildet das völkerrechtliche Vertrauensprinzip. Dieses besagt, dass - ausser bei offenbarem Rechtsmissbrauch oder bei berechtigten Fragen in Zusammenhang mit dem Schutz des schweizerischen oder internationalen Ordre public (vgl. Art. 7 StAhiG) - kein Anlass besteht, an Sachverhaltsdarstellungen und Erklärungen anderer Staaten zu zweifeln (BGE 143 II 202 E. 8.7.1, 142 II 218 E. 3.3, 142 II 161 E. 2.1.3 f.). Entsprechend ist der ersuchte Staat an die Darstellung des Sachverhalts im Ersuchen soweit gebunden, als diese nicht wegen offensichtlicher Fehler, Lücken oder Widersprüche sofort entkräftet werden kann (vgl. statt vieler: BGE 139 II 404 E. 9.5, 128 II 407 E. 5.2.1).</w:t>
      </w:r>
    </w:p>
    <w:p>
      <w:r>
        <w:rPr>
          <w:b/>
        </w:rPr>
        <w:t>E. 2.2.2</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vom13. Februar 2020 E. 10.1 und A-5046/2018 vom 22. Mai 2019 E. 2.5). In BGE 147 II 13 E. 3.1 hat das Bundesgericht dargelegt, dass die Verwendungsbeschränkung gemäss Art. 26 Ziff. 1 aDBA CH-US (und vergleichbare Bestimmungen anderer Doppelbesteuerungsabkommen) ihren Zweck - den Schutz der Souveränität des ersuchten Staats und die korrekte Allokation der Verantwortung für Grundrechtseingriffe unter den Vertragsstaaten - nur erreichen könne, wenn ihr nicht nur eine sachliche, sondern auch eine persönliche Dimension zuerkannt werde. Deshalb dürfe der ersuchende Staat die nach Art. 26 Ziff. 1 aDBA CH-US übermittelten Informationen nicht gegenüber Personen verwenden, die von seinem Ersuchen nicht betroffen waren (vgl. dazu E. 3.1 ff. sowie zur Auseinandersetzung mit den von der ESTV vorgebrachten Argumenten insbesondere E. 3.6 des genannten Urteils; zum Ganzen: Urteil des BVGer A-3972/2019 vom 22. März 2021 E. 3.7.1). Das Gesagte gilt demnach ohne Weiteres auch für Anwendungsfälle des DBA CH-SE. Auch das vorangehend erwähnte völkerrechtliche Vertrauensprinzip spielt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Urteil des BGer 2C_653/2018 vom 26. Juli 2019 E. 7.3; BVGE 2018 III/1 E. 2.9.1; zum Ganzen: Urteil des BVGer A-3972/2019 vom 22. März 2021 E. 3.7.2).</w:t>
      </w:r>
    </w:p>
    <w:p>
      <w:r>
        <w:rPr>
          <w:b/>
        </w:rPr>
        <w:t>E. 2.3</w:t>
      </w:r>
    </w:p>
    <w:p>
      <w:r>
        <w:t>Gemäss Art. 6 Abs. 1 des Bundesgesetzes vom 19. Juni 1992 über den Datenschutz (DSG, SR 235.1)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DSG unter anderem dann möglich, wenn hinreichende (insbesondere vertragliche) Garantien einen angemessenen Schutz im Ausland garantieren (Bst. a) oder wenn die betroffene Person im Einzelfall eingewilligt hat (Bst. b). Sowohl Art. 22 Abs. 5 StAhiG als auch das DSG verpflichten die ESTV, zuhanden der ersuchenden Behörde auf eine Verwendungsbeschränkung zu verweisen. Ist eine solche in der angefochtenen Schlussverfügung enthalten, verletzt die Übermittlung der Informationen Art. 6 DSG im Grunde nicht (statt vieler: BGE 147 II 13 E. 1.3.2 und E. 3; Urteil des BGer 2C_540/2019 vom 13. Juli 2020 E. 1.3 und E. 3.1; zum Ganzen: Urteil des BVGer A-3972/2019 22. März 2021 E. 3.8).</w:t>
      </w:r>
    </w:p>
    <w:p>
      <w:r>
        <w:rPr>
          <w:b/>
        </w:rPr>
        <w:t>E. 3.1</w:t>
      </w:r>
    </w:p>
    <w:p>
      <w:r>
        <w:t>Im vorliegenden Fall ist zunächst ist zu prüfen, ob die Vorinstanz - wie die Beschwerdeführenden geltend machen - verpflichtet gewesen wäre, dem Beschwerdeführers 3 sowie weiteren Drittpersonen, deren Daten in den zu übermittelnden Unterlagen erscheinen, im vorinstanzlichen Verfah-ren Parteistellung einzuräumen und wenn ja, ob sich die vorliegend angefochtene Schlussverfügung deswegen als nichtig erweist.</w:t>
      </w:r>
    </w:p>
    <w:p>
      <w:r>
        <w:rPr>
          <w:b/>
        </w:rPr>
        <w:t>E. 3.1.1</w:t>
      </w:r>
    </w:p>
    <w:p>
      <w:r>
        <w:t>Wie vorangehend in Erwägung 2.1.2 dargelegt, hat die Vorinstanz nicht alle Personen, welche gemäss den einschlägigen Bestimmungen beschwerdeberechtigt sein könnten, über ein Amtshilfeverfahren zu informieren. Eine Informationspflicht besteht nur gegenüber jenen (Dritt-) Personen, von deren Beschwerdeberechtigung die Vorinstanz aufgrund der Akten ausgehen muss bzw. deren Beschwerdeberechtigung evident ist.</w:t>
      </w:r>
    </w:p>
    <w:p>
      <w:r>
        <w:rPr>
          <w:b/>
        </w:rPr>
        <w:t>E. 3.1.2</w:t>
      </w:r>
    </w:p>
    <w:p>
      <w:r>
        <w:t>Ob die Vorinstanz im vorliegenden Fall zu Unrecht davon ausgegangen ist, die Beschwerdelegitimation des Beschwerdeführers 3 sei im Sinne der genannten bundesgerichtlichen Rechtsprechung nicht evident, braucht vorliegend nicht abschliessend geklärt zu werden; denn selbst wenn dies der Fall gewesen und es dadurch zu einer Verletzung des rechtlichen Gehörs des Beschwerdeführers 3 im vorinstanzlichen Verfahren gekommen wäre (was hier offenbleiben kann), wäre im hier zu beurteilenden Fall von einer Heilung eines solchen Mangels und nicht von Nichtigkeit der Verfügung auszugehen (vgl. vorangehend E. 2.1.2). Der Beschwerdeführer 3 ist nämlich durch den Beschwerdeführer 1 über das Amtshilfeverfahren informiert worden, hat Einsicht in die Akten erhalten und wurde dadurch befähigt, sich mittels Beschwerde an das Bundesverwaltungsgericht zu wenden, welches die aufgeworfenen Fragen mit voller Kognition und damit sowohl in Bezug auf Sachverhalts- wie auch auf Rechtsfragen überprüfen kann (vgl. diesbezüglich Urteil des BVGer A-1275/2018 vom 23. Mai 2019 E. 4.5.1).</w:t>
      </w:r>
    </w:p>
    <w:p>
      <w:r>
        <w:rPr>
          <w:b/>
        </w:rPr>
        <w:t>E. 3.1.3</w:t>
      </w:r>
    </w:p>
    <w:p>
      <w:r>
        <w:t>Was die Rügen der Beschwerdeführenden in Bezug auf die Information weiterer Drittpersonen betrifft, ist darauf aus den in Erwägung 1.3.3 genannten Gründen nicht einzutreten (vgl. E. 1.4).</w:t>
      </w:r>
    </w:p>
    <w:p>
      <w:r>
        <w:rPr>
          <w:b/>
        </w:rPr>
        <w:t>E. 3.2</w:t>
      </w:r>
    </w:p>
    <w:p>
      <w:r>
        <w:t>Im Folgenden ist zu prüfen, ob die angefochtene Schlussverfügung - wie von den Beschwerdeführenden beantragt - aufzuheben ist.</w:t>
      </w:r>
    </w:p>
    <w:p>
      <w:r>
        <w:rPr>
          <w:b/>
        </w:rPr>
        <w:t>E. 3.2.1</w:t>
      </w:r>
    </w:p>
    <w:p>
      <w:r>
        <w:t>Die Beschwerdeführenden begründen diesen Antrag damit, die angefochtene Schlussverfügung verletze Art. 13 Abs. 2 BV. Gemäss dieser Verfassungsbestimmung, habe jede Person Anspruch auf Schutz vor Missbrauch ihrer persönlichen Daten. Eine Einschränkung der Privatsphäre müsse den Voraussetzungen von Art. 36 BV genügen, das heisst, auf einer gesetzlichen Grundlage beruhen, im öffentlichen Interesse sowie verhältnismässig sein. Das sei im vorliegenden Fall nicht gegeben, zumal aufgrund der von der betroffenen Person gemachten Einwände und der von ihr eingereichten Unterlagen zumindest erhebliche Zweifel daran bestehen würden, ob die von der STA ersuchten Informationen dem Erfordernis der voraussichtlichen Erheblichkeit im Sinne von Art. 27 Abs. 1 DBA CH-SE genügen. Damit fehle es an einer rechtlichen Grundlage für die Informationsübermittlung. Die Vorinstanz wäre nach Auffassung der Beschwerdeführenden verpflichtet gewesen, von der ersuchenden Behörde genaue Angaben zu den anwendbaren schwedischen Gesetzesbestimmungen einzuholen um die voraussichtliche Erheblichkeit der fraglichen Daten prüfen zu können.</w:t>
      </w:r>
    </w:p>
    <w:p>
      <w:r>
        <w:rPr>
          <w:b/>
        </w:rPr>
        <w:t>E. 3.2.2</w:t>
      </w:r>
    </w:p>
    <w:p>
      <w:r>
        <w:t>Wie aus dem hier zu beurteilenden Amtshilfeersuchen hervorgeht, führen die schwedischen Behörden eine Steuerprüfung betreffend den Beschwerdeführer 1 durch (vgl. Sachverhalt A.b). Das Amtshilfeersuchen wird mit dem Ziel gestellt, die korrekte Besteuerungsgrundlage sowie die Festsetzung bzw. Überprüfung der Einkommensbesteuerung der betroffenen Person zu ermitteln. Es wird der begründete Verdacht geäussert, der Beschwerdeführer 1 habe Zahlungen von der Beschwerdeführerin 2 auf ein Konto in der Schweiz erhalten, wobei er diese Zahlungen unrechtmässig nicht als Einkünfte deklariert habe (vgl. Sachverhalt Bst. A.b). Die ersuchten Informationen (vgl. Sachverhalt Bst. A.c) erweisen sich ohne Weiteres als voraussichtlich erheblich für die von der STA durchzuführenden Untersuchung. Der von er ersuchenden Behörde geschilderte Sachverhalt weist weder offensichtliche Fehler, Lücken oder Widersprüche auf. Entsprechend ist der ersuchte Staat gemäss völkerrechtlichem Vertrauensprinzip an das Geschilderte gebunden (E. 2.2.1). Jedenfalls war die Vorinstanz unter den gegebenen Umständen nicht gehalten, die ersuchende Behörde diesbezüglich zur Übermittlung der nach schwedischem Recht einschlägigen Bestimmungen aufzufordern.</w:t>
      </w:r>
    </w:p>
    <w:p>
      <w:r>
        <w:rPr>
          <w:b/>
        </w:rPr>
        <w:t>E. 3.2.3</w:t>
      </w:r>
    </w:p>
    <w:p>
      <w:r>
        <w:t>Bei der von den Beschwerdeführenden vorgebrachten Begründung, weshalb der Beschwerdeführer 1 von der Beschwerdeführerin 2 erhaltene Vermögenswerte gemäss schwedischem Recht nicht als Einkommen zu versteuern habe, handelt es sich um Vorbringen, welche im Rahmen des schwedischen Steuerverfahrens zu behandeln sein werden und nicht im Rahmen des vorliegenden Amtshilfeverfahrens. Entsprechend ist darauf nicht weiter einzugehen (vgl. Urteil des BVGer A-2981/2019 vom 1. September 2020 E. 2.4 mit zahlreichen weiteren Hinweisen).</w:t>
      </w:r>
    </w:p>
    <w:p>
      <w:r>
        <w:rPr>
          <w:b/>
        </w:rPr>
        <w:t>E. 3.2.4</w:t>
      </w:r>
    </w:p>
    <w:p>
      <w:r>
        <w:t>Soweit die Beschwerdeführenden vorbringen, die schwedischen Behörden würden Informationen verlangen, in deren Besitz sie schon seien, können sie daraus nichts zu ihren Gunsten ableiten. Informationen können nämlich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A-4811/2019 vom 26. April 2021 E. 5.1 und A-765/2019 vom 20. September 2019 E. 3.3.2.3).</w:t>
      </w:r>
    </w:p>
    <w:p>
      <w:r>
        <w:rPr>
          <w:b/>
        </w:rPr>
        <w:t>E. 3.2.5</w:t>
      </w:r>
    </w:p>
    <w:p>
      <w:r>
        <w:t>Aus dem Dargelegten ergibt sich, dass die Vorinstanz dem Amtshilfeersuchen zu Recht stattgegeben hat (vgl. jedoch nachfolgend E. 3.4 und E. 3.5).</w:t>
      </w:r>
    </w:p>
    <w:p>
      <w:r>
        <w:rPr>
          <w:b/>
        </w:rPr>
        <w:t>E. 3.3</w:t>
      </w:r>
    </w:p>
    <w:p>
      <w:r>
        <w:t>Nachfolgend ist auf das Subeventualbegehren einzugehen, es seien Angaben und Namen des Beschwerdeführers 3 sowie von sämtlichen weiteren Drittpersonen, deren Daten sich in den zu übermittelnden Unterlagen befinden, in der Antwort der Vorinstanz an die ersuchende Behörde zu schwärzen.</w:t>
      </w:r>
    </w:p>
    <w:p>
      <w:r>
        <w:rPr>
          <w:b/>
        </w:rPr>
        <w:t>E. 3.3.1</w:t>
      </w:r>
    </w:p>
    <w:p>
      <w:r>
        <w:t>Beim Beschwerdeführer 3 handelt es sich nicht um eine Person, welche rein zufällig in den zu übermittelnden Unterlagen erscheint. Aus den Akten geht hervor, dass er eine Transaktion über USD 280'000.-- in Zusammenhang mit dem Bankkonto [...] (vgl. Sachverhalt Bst. A.b) getätigt hat. Bei diesen Daten handelt es sich um solche, welche für die Beurteilung der Steuerpflicht der vom Amtshilfeersuchen betroffenen Person voraussichtlich erheblich sind, zumal sie Aufschluss über die relevanten Geldflüsse in Zusammenhang mit dem erwähnten Konto geben können. Der Argumentation der Beschwerdeführenden, die namentliche Bezeichnung des Beschwerdeführers 3 sei für die Beurteilung der Steuersituation der vom Ersuchen betroffenen Person weder erforderlich noch relevant, ist nicht zu folgen. Nach dem Gesagten sind diese Daten ungeschwärzt in den zu übermittelnden Unterlagen zu belassen und die Beschwerde in diesem Punkt abzuweisen.</w:t>
      </w:r>
    </w:p>
    <w:p>
      <w:r>
        <w:rPr>
          <w:b/>
        </w:rPr>
        <w:t>E. 3.3.2</w:t>
      </w:r>
    </w:p>
    <w:p>
      <w:r>
        <w:t>Was den Antrag auf Schwärzung der Daten von weiteren Drittpersonen betrifft, ist auf das in Erwägung 1.3.3 und 1.4 Dargelegte zu verweisen. Auf die Beschwerde ist insoweit nicht einzutreten. Nicht ausser Acht zu lassen ist hierbei, dass sowohl der Beschwerdeführer 3 als auch die weiteren Drittpersonen durch das Spezialitätsprinzip vor der Verwendung ihrer Informationen durch den ersuchenden Staat gegen sie selbst geschützt sind (vgl. E. 2.1.2 sowie BGE 146 I 172 E. 7.1, insbesondere E. 7.1.3 sowie Urteil des BGer 2C_687/2019 vom 13. Juli 2020 E. 6.1; Urteil des BVGer A-3972/2019 vom 22. März 2021 E. 4.2.2).</w:t>
      </w:r>
    </w:p>
    <w:p>
      <w:r>
        <w:rPr>
          <w:b/>
        </w:rPr>
        <w:t>E. 3.4</w:t>
      </w:r>
    </w:p>
    <w:p>
      <w:r>
        <w:t>Wie aus dem Amtshilfeersuchen vom 13. August 2019 hervorgeht, untersucht die STA im vorliegenden Fall die Steuerperioden vom 1. Januar 2013 bis 31. Dezember 2017. Die ersuchende Behörde hat betreffend die Dringlichkeit des Ersuchens darauf hingewiesen, dass die Verjährung für die Steuerperiode 2013 am 31. Dezember 2019 eintreten werde (vgl. Sachverhalt Bst. A.b). In der Zwischenzeit ist somit die Verjährung betreffend die Steuerperiode 2013 eingetreten und es ist entsprechend davon auszugehen, dass auch betreffend die Steuerperiode 2014 die Verjährung am 31. Dezember 2020 eingetreten ist. Die ersuchende Behörde hat im Amtshilfeverfahren keinerlei Angaben gemacht, aus welchen explizit oder implizit hervorgegangen wäre, dass die erbetenen Informationen trotz Eintritts der Verjährung noch von Nutzen seien (dies etwa im Unterschied zu den Fällen, welche den Urteilen des BGer 2C_750/2020 vom 25. März 2021 [vgl. dort E. 10.1 ff.], 2C_542/2018 vom 10. März 2021 [vgl. dort Sachverhalt Bst. A, E. 3 ff., 4.2 f.] und dem Urteil des BVGer A-105/2020 vom 22. Januar 2021 [vgl. dort E. 3.1.3] zu Grunde lagen). Zu beachten ist im vorliegenden Fall, dass als Zweck des Amtshilfeersuchens ausschliesslich die Steuerfestsetzung und nicht etwa (auch) ein Steuerstrafverfahren genannt wird (vgl. Sachverhalt Bst. A.b). Entsprechend gibt es keinen Grund zur Annahme, die für die Zulässigkeit eines Informationsaustauschs notwendige voraussichtliche Erheblichkeit der Unterlagen betreffend die Steuerperioden 2013 und 2014 sei noch gegeben. Unter diesen Umständen sind die diese Jahre betreffenden Unterlagen nicht zu übermitteln und entsprechend auszusondern.</w:t>
      </w:r>
    </w:p>
    <w:p>
      <w:r>
        <w:rPr>
          <w:b/>
        </w:rPr>
        <w:t>E. 3.5</w:t>
      </w:r>
    </w:p>
    <w:p>
      <w:r>
        <w:t>Angesichts der bundesgerichtlichen Rechtsprechung, wonach die Amtshilfeklausel der Doppelbesteuerungsabkommen den Vertragsstaaten nicht nur die in sachlicher Hinsicht zweckfremde Verwendung von Informationen verbietet, sondern auch jede Verwendung übermittelter Informationen gegenüber Dritten (vgl. vorangehend E. 2.2.2), hat die Vorinstanz Ziff. 3 der angefochtenen Schlussverfügung anzupassen. Sie hat die ersuchende Behörde bei der Übermittlung der Informationen ausdrücklich darauf hinweisen, dass die Informationen nur in Verfahren gegen die in Schweden steuerpflichtige betroffene Person für den im Ersuchen erwähnten Tatbestand verwendet werden dürfen und diese Informationen gemäss Art. 27 Abs. 2 DBA CH-SE geheim zu halten sind (vgl. diesbezüglich auch E. 2.3).</w:t>
      </w:r>
    </w:p>
    <w:p>
      <w:r>
        <w:rPr>
          <w:b/>
        </w:rPr>
        <w:t>E. 3.6</w:t>
      </w:r>
    </w:p>
    <w:p>
      <w:r>
        <w:t>Nach dem Dargelegten ist zusammenfassend festzuhalten, dass die von der STA ersuchten Informationen (vgl. Sachverhalt Bst. A.c), welche die Steuerperioden 2015, 2016 und 2017 betreffen, amtshilfeweise zu übermitteln sind. Sodann ist in der Schlussverfügung der Hinweis auf die Verwendungsbeschränkung der übermittelten Daten zu konkretisieren (E. 3.5).</w:t>
      </w:r>
    </w:p>
    <w:p>
      <w:r>
        <w:rPr>
          <w:b/>
        </w:rPr>
        <w:t>E. 4</w:t>
      </w:r>
    </w:p>
    <w:p>
      <w:r>
        <w:t>Es bleibt, auf die Kosten- und Entschädigungsfolgen des vorliegenden Bechwerdeverfahrens einzugehen:</w:t>
      </w:r>
    </w:p>
    <w:p>
      <w:r>
        <w:rPr>
          <w:b/>
        </w:rPr>
        <w:t>E. 4.1</w:t>
      </w:r>
    </w:p>
    <w:p>
      <w:r>
        <w:t>Die Verfahrenskosten werden in der Regel der unterliegenden Partei auferlegt; unterliegt diese nur teilweise, so werden die Verfahrenskosten ermässigt (Art. 63 Abs. 1 VwVG). Insgesamt sind die Verfahrenskosten auf Fr. 3'000.-- festzusetzen (vgl. Art. 2 Abs. 1 in Verbindung mit Art. 4 des Reglements vom 21. Februar 2008 über die Kosten und Entschädigungen vor dem Bundesverwaltungsgericht [VGKE, SR 173.320.2]) und den zu einem untergeordneten Teil obsiegenden Beschwerdeführenden (die Beschwerde ist von Amtes wegen mit Blick auf die Verjährung resp. die fehlende voraussichtliche Erheblichkeit gutzuheissen) im Umfang von Fr. 2'000.-- aufzuerlegen. Letzterer Betrag ist dem geleisteten Kostenvorschuss von Fr. 3'000.-- zu entnehmen. Der Restbetrag von Fr. 1'000.-- ist den Beschwerdeführenden nach Eintritt der Rechtskraft des vorliegenden Urteils zurückzuerstatten.</w:t>
      </w:r>
    </w:p>
    <w:p>
      <w:r>
        <w:rPr>
          <w:b/>
        </w:rPr>
        <w:t>E. 4.2</w:t>
      </w:r>
    </w:p>
    <w:p>
      <w:r>
        <w:t>Der Vorinstanz können keine Verfahrenskosten auferlegt werden (Art. 63 Abs. 2 VwVG).</w:t>
      </w:r>
    </w:p>
    <w:p>
      <w:r>
        <w:rPr>
          <w:b/>
        </w:rPr>
        <w:t>E. 4.3</w:t>
      </w:r>
    </w:p>
    <w:p>
      <w:r>
        <w:t>Den teilweise obsiegenden Beschwerdeführenden ist für die erwach-senen notwendigen und verhältnismässig hohen Kosten ihrer Vertretung eine reduzierte Parteientschädigung zuzusprechen (vgl. Art. 64 Abs. 1 VwVG; Art. 7 Abs. 2 VGKE). Die Beschwerdeführenden haben keine Kostennote eingereicht. In Anwendung von Art. 14 Abs. 2 VGKE und unter Berücksichtigung der gesamten Umstände erscheint eine reduzierte Parteientschädigung von praxisgemäss Fr. 1'500.-- als angemessen.</w:t>
      </w:r>
    </w:p>
    <w:p>
      <w:r>
        <w:rPr>
          <w:b/>
        </w:rPr>
        <w:t>E. 5</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