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A-1497/2019 vom 7. Oktober 2020</w:t>
      </w:r>
    </w:p>
    <w:p>
      <w:r>
        <w:t>Bundesverwaltungsgericht, 2020-10-07, DE</w:t>
      </w:r>
    </w:p>
    <w:p>
      <w:r>
        <w:rPr>
          <w:b/>
        </w:rPr>
        <w:t xml:space="preserve">Quelle: </w:t>
      </w:r>
      <w:r>
        <w:t>https://mcp.opencaselaw.ch/entscheid/bvger_A-1497_2019</w:t>
      </w:r>
    </w:p>
    <w:p>
      <w:r>
        <w:t>FR: TAF A-1497/2019 du 7 octobre 2020</w:t>
      </w:r>
    </w:p>
    <w:p>
      <w:r>
        <w:t>IT: TAF A-1497/2019 del 7 ottobre 2020</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Beschwerdeentscheid vom 20. Februar 2019 ist eine Verfügung im Sinne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gemäss Art. 48 Abs. 1 VwVG zur Beschwerdeführung legitimiert. Die Beschwerde wurde zudem frist- und formgerecht eingereicht (vgl. Art. 20 i.V.m. Art. 50 Abs. 1 VwVG; Art. 52 Abs. 1 VwVG). Auf das Rechtsmittel ist somit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Waren, die ins Zollgebiet oder aus dem Zollgebiet verbracht werden, sind grundsätzlich zollpflichtig und müssen nach dem ZG sowie nach dem Zolltarifgesetz vom 9. Oktober 1986 (ZTG, SR 632.10) veranlagt werden (Art. 7 ZG). Gegenstände, die gemäss Art. 7 ZG zollpflichtig sind, unterliegen zudem grundsätzlich der Einfuhrsteuer (Art. 50 ff. des Mehrwertsteuergesetzes vom 12. Juni 2009 [MWSTG, SR 641.20]). Das Objekt der Einfuhrsteuer ist grundsätzlich dasselbe wie beim Zoll. Für das Auslösen der Steuer genügt es, dass der Gegenstand über die Zollgrenze verbracht wird. Ein (entgeltliches) Umsatzgeschäft ist nicht erforderlich (statt vieler: Urteile des BVGer A-4988/2016 vom 17. August 2017 E. 5.2, A-718/2013 vom 27. Dezember 2013 E. 2.5 und A-1134/2011 vom 2. Dezember 2011 E. 2.4.2). Vorbehalten bleiben Zoll- und Steuerbefreiungen bzw. -erleichterungen, die sich aus besonderen Bestimmungen von Gesetzen und Verordnungen oder Staatsverträgen ergeben (vgl. Art. 2 Abs. 1 und Art. 8 ff. ZG; Art. 1 Abs. 2 ZTG; Art. 53 MWSTG).</w:t>
      </w:r>
    </w:p>
    <w:p>
      <w:r>
        <w:rPr>
          <w:b/>
        </w:rPr>
        <w:t>E. 2.2.1</w:t>
      </w:r>
    </w:p>
    <w:p>
      <w:r>
        <w:t>Gemäss Art. 14 Abs. 1 ZG werden, wenn das ZTG dies vorsieht oder wenn das Eidgenössische Finanzdepartement (nachfolgend: EFD) die im ZTG festgesetzten Zollansätze herabgesetzt hat, für bestimmte Verwendungen von Waren tiefere Zollansätze angewendet («Zollerleichterungen für Waren je nach Verwendungszweck»). Art. 14 Abs. 2 und 3 ZG regeln die Voraussetzungen, unter welchen das EFD die Zollansätze herabsetzen und in welchen Fällen die OZD die Ansätze anpassen darf. Wer veranlagte Waren nachträglich zu Zwecken verwenden oder abgeben will, die höheren Zollabgaben unterliegen, muss vorgängig eine neue Zollanmeldung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 Weitere Einzelheiten sind in der Zollverordnung vom 1. November 2006 (ZV, SR 631.01) sowie in der ZEV geregelt. Nach Art. 51 Abs. 1 ZV muss, wer für eine bestimmte Verwendung von Waren einen reduzierten Zollansatz in Anspruch nehmen will, vor der ersten Zollanmeldung bei der OZD eine entsprechende schriftliche Verwendungsverpflichtung hinterlegen. Daraufhin teilt die OZD eine Verpflichtungsnummer zu (Art. 51 Abs. 2 ZV). Bei einer Verwendungsverpflichtung handelt es sich um eine allgemein gültige Verpflichtung, eine Ware nur zu einem bestimmten Zweck zu verwenden, ohne Einschränkung hinsichtlich der Menge und Herkunft der Ware sowie der Dauer (Art. 2 Bst. c ZEV). Gemäss Art. 2 Bst. d ZEV gilt als zollbegünstigte Person diejenige, welche für zollbegünstigte Waren eine Verwendungsverpflichtung hinterlegt hat, die von der OZD genehmigt ist (Ziff. 1), und diejenige, welche eine mit einem Verwendungsvorbehalt versehene, unveränderte zollbegünstige Ware im Zollgebiet übernimmt (Ziff. 2). Überdies sieht Art. 52 Abs. 1 Bst. a ZV mit Bezug auf Zollerleichterungen für Waren je nach Verwendungszweck vor, dass der reduzierte Satz in der Zollanmeldung (vgl. zu den besonderen Angaben, welche die Zollanmeldung zu enthalten hat: Art. 6 ZEV) zu beantragen und die Verpflichtungsnummer derjenigen Person anzugeben ist, der die Ware nach der Überführung in den zollrechtlich freien Verkehr direkt zugeführt wird (Art. 52 Abs. 1 Bst. b ZV). Die OZD kann die Angabe der Verpflichtungsnummer einer anderen Person bewilligen, wenn besondere logistische oder geschäftliche Verhältnisse es erfordern (Art. 52 Abs. 2 ZV; vgl. zum Ganzen: Urteile des BVGer A-579/2016 vom 15. Juni 2016 E. 2.1.3 und A-718/2013 vom 27. Dezember 2013 E. 2.3). Erfolgt die Zollanmeldung der Ware zum ermässigten Zollansatz nicht rechtmässig, hat die Zollbehörde bereits nach dem Grundsatz der allgemeinen Zollpflicht die Verzollung zum Normalansatz vorzunehmen. Eine Veranlagung zum ermässigten Zollansatz aufgrund einer Zollerleichterung für Waren wegen ihres Verwendungszwecks kann diesfalls nicht in Betracht kommen (Urteile des BVGer A-5477/2013 vom 24. März 2014 E. 2.8.2 und A-1134/2011 vom 2. Dezember 2011 E. 2.3.3).</w:t>
      </w:r>
    </w:p>
    <w:p>
      <w:r>
        <w:rPr>
          <w:b/>
        </w:rPr>
        <w:t>E. 2.2.2</w:t>
      </w:r>
    </w:p>
    <w:p>
      <w:r>
        <w:t>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 Die Kontroll- und Sicherungsmassnahmen zur Einhaltung des Verwendungszwecks sowie die Zollanmeldung und die Nachentrichtung oder Rückerstattung von Zollabgaben bei der Änderung des Verwendungszwecks nach Art. 14 Abs. 4 und 5 ZG delegiert die Verordnung an das EFD (Art. 54 ZV). In Konkretisierung dieser Bestimmung regelt Art. 7 ZEV, dass die zollbegünstigte Person der Zollverwaltung auf Verlangen nachweisen muss, dass sie die Waren der Verwendungsverpflichtung entsprechend verwendet hat (Art. 7 ZEV). Zudem muss sie bei jeder Weitergabe von unveränderten Waren im Zollgebiet in den Verkaufs- und Lieferdokumenten einen Verwendungsvorbehalt gemäss Anhang 2 anbringen (Art. 6 Abs. 2 Bst. b i.V.m. Art. 8 Abs. 1 ZEV; zum Ganzen: Urteile des BVGer A-1051/2019 vom 31. August 2020 E. 2.1.6.2, A-579/2016 vom 15. Juni 2016 E. 2.1.3 und A-718/2013 vom 27. Dezember 2013 E. 2.4.2).</w:t>
      </w:r>
    </w:p>
    <w:p>
      <w:r>
        <w:rPr>
          <w:b/>
        </w:rPr>
        <w:t>E. 2.3.1</w:t>
      </w:r>
    </w:p>
    <w:p>
      <w:r>
        <w:t>Wer sich oder einem anderen einen unrechtmässigen Zoll- oder Einfuhrmehrwertsteuervorteil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(statt vieler: Urteile des BVGer A-5996/2017 vom 5. September 2018 E. 2.5.1 und A-7503/2016 vom 16. Januar 2018 E. 8.1).</w:t>
      </w:r>
    </w:p>
    <w:p>
      <w:r>
        <w:rPr>
          <w:b/>
        </w:rPr>
        <w:t>E. 2.3.2</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(Hervorhebung durch das Gericht)» gilt. Die Leistungspflicht im Sinne von Art. 12 VStrR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A-321/2019 vom 17. September 2019 E. 3.6 f. [angefochten vor BGer] mit weiteren Hinweisen). Zu den gestützt auf Art. 12 Abs. 2 VStrR Nachleistungspflichtigen gehören nach dem Gesetzeswortlaut insbesondere die «zur Zahlung der Abgabe Verpflichteten»,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 des BVGer A-5936/2016 vom 16. August 2017 E. 4.4; Michael Beusch, in: Kocher/Clavadetscher, [Hrsg.], Zollgesetz, 2009 [nachfolgend: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Urteil des BVGer A-5936/2016 vom 16. August 2017 E. 4.4). 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Urteile des BVGer A-321/2019 vom 17. September 2019 E. 3.7 [angefochten vor BGer] und A-714/2018 vom 23. Januar 2019 E. 7.2; Beusch, Zollkommentar, Art. 70 N 4 f.). Einfuhrmehrwertsteuerpflichtig ist, wer nach Art. 70 ZG Zollschuldner ist (vgl. Art. 51 Abs. 1 MWSTG).</w:t>
      </w:r>
    </w:p>
    <w:p>
      <w:r>
        <w:rPr>
          <w:b/>
        </w:rPr>
        <w:t>E. 2.4.1</w:t>
      </w:r>
    </w:p>
    <w:p>
      <w:r>
        <w:t>Die Zollanmeldung basiert auf dem Selbstdeklarationsprinzip. Demnach wird von der anmeldepflichtigen Person eine vollständige und richtige Deklaration der Ware verlangt.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des Bundesrates vom 15. Dezember 2003 über ein neues Zollgesetz [nachfolgend: Botschaft ZG], BBl 2004 567 ff., 601; vgl. BGE 112 IV 53 E. 1a; statt vieler: Urteil des BVGer A-321/2019 vom 17. September 2019 E. 3.4.2 [angefochten vor BGer]; Barbara Schmid, Zollkommentar, Art. 18 N 3 f. mit weiteren Hinweisen).</w:t>
      </w:r>
    </w:p>
    <w:p>
      <w:r>
        <w:rPr>
          <w:b/>
        </w:rPr>
        <w:t>E. 2.4.2</w:t>
      </w:r>
    </w:p>
    <w:p>
      <w:r>
        <w:t>Soll eine Vorzugsbehandlung wie beispielsweise eine Präferenzverzollung erfolgen, muss die anmeldepflichtige Person dies in der Zollanmeldung entsprechend beantragen (vgl. Art. 79 Abs. 1 Bst. a ZV sowie Art. 80 ZV). Gemäss Art. 25 Abs. 1 ZG ist die anmeldepflichtige Person verpflichtet, innerhalb der von der EZV bestimmten Frist die Ware anzumelden und die Begleitdokumente - so insbesondere Ursprungsnachweise - einzureichen (vgl. Art. 80 Abs. 1 ZV sowie Urteile des BVGer A-321/2019 vom 17. September 2019 E. 3.4.3 [angefochten vor BGer] und A-5624/2018 vom 19. Juli 2019 E. 5.2.3). Fehlen zum Zeitpunkt der Zollanmeldung Begleitdokumente für die Gewährung einer Zollermässigung oder einer Zollbefreiung, kann bzw. muss im Rahmen der Anmeldung eine provisorische Veranlagung beantragt werden (vgl. Art. 39 Abs. 1 ZG, Art. 79 Abs. 1 Bst. a ZV sowie Art. 93 Abs. 1 Bst. a und Abs. 2 Bst. a ZV). Eine provisorische Veranlagung erlaubt es den Zollpflichtigen namentlich, unter Sicherstellung der Zollabgaben zum höchsten Zollansatz, welcher nach der Art der importierten Ware anwendbar ist, die für eine Präferenzverzollung erforderlichen Dokumente innert einer von der Zollstelle anzusetzenden Frist nachzureichen und so in den Genuss der Zollpräferenz zu kommen (vgl. Art. 39 Abs. 3 und 4 ZG). Der provisorischen Veranlagung kommt bei Präferenzansprüchen eine besondere Bedeutung zu, da das Zollrecht eine nachträgliche Präferenzverzollung für Waren, welche bereits aus der Zollkontrolle entlassen worden sind, prinzipiell nicht zulässt (vgl. bereits zum früheren Zollrecht: Urteile des BGer 2C_32/2011 vom 7. April 2011 E. 4.5 und 2A.566/2003 vom 9. Juni 2004 E. 2.3; Urteile des BVGer A-321/2019 vom 17. September 2019 E. 3.4.3 [angefochten vor BGer] und A-2924/2016 vom 23. März 2017 E. 3.3.1). Fehlt der rechtlich vorgesehene, gültige Ursprungsnachweis im Zeitpunkt der Zollanmeldung und wird dabei kein Antrag auf provisorische Veranlagung gestellt (und ist auch keine Berichtigung nach Art. 34 ZG erfolgt bzw. möglich [sogleich: E. 2.4.3]; vgl. Urteil des BVGer A-3296/2008 vom 22. Oktober 2009 E. 3.2), führt dies nach konstanter Rechtsprechung letztlich zum Verlust des präferenziellen Ursprungs einer Ware als Bemessungsgrundlage und ist die Ware zum Normaltarif zu verzollen (statt vieler: Urteile des BVGer A-321/2019 vom 17. September 2019 E. 3.4.3 [angefochten vor BGer], A-5624/2018 vom 19. Juli 2019 E. 5.2.3 und A-5996/2017 vom 5. September 2018 E. 2.4.3, je mit weiteren Hinweisen; Schmid, Zollkommentar, Art. 19 N 59). Diese Rechtsprechung widerspricht insbesondere auch nicht dem Abkommen vom 22. Juli 1972 zwischen der Schweizerischen Eidgenossenschaft und der Europäischen Wirtschaftsgemeinschaft (Freihandelsabkommen, FHA, SR 0.632.401; ausführlich: Urteil des BVGer A-321/2019 vom 17. September 2019 E. 8.1-8.5 [angefochten vor BGer]; siehe auch: Urteil des BVGer A-5624/2018 vom 19. Juli 2019 E. 9).</w:t>
      </w:r>
    </w:p>
    <w:p>
      <w:r>
        <w:rPr>
          <w:b/>
        </w:rPr>
        <w:t>E. 2.4.3</w:t>
      </w:r>
    </w:p>
    <w:p>
      <w:r>
        <w:t>Mit der Annahme der Zollanmeldung - für welche die Zollverwaltung Form und Zeitpunkt festlegt - wird diese für die anmeldepflichtige Person verbindlich (Art. 33 Abs. 1 und Abs. 2 ZG) und grundsätzlich unabänderlich. Dieser Grundsatz der Verbindlichkeit bzw. grundsätzlichen Unabänderlichkeit der angenommenen Zollanmeldung stellt einen Eckpfeiler des schweizerischen Zollrechts dar (Botschaft ZG, BBl 2004 584, 617; Patrick Raedersdorf, Zollkommentar, Art. 33 N 2). Der Gesetzgeber war sich indessen bewusst, dass dieser Grundsatz - starr angewandt - in gewissen Fällen zu unerwünschten, ungerechten Ergebnissen führen kann, weshalb er nicht absolute Geltung besitzt. Eine Berichtigung der Zollanmeldung ist unter gewissen Voraussetzungen gemäss Art. 34 ZG - so insbesondere innerhalb einer 30-tägigen Berichtigungsfrist - möglich (vgl. zum Ganzen ausführlich: Urteile des BVGer A-2924/2016 vom 23. März 2017 E. 2.2.3 und E. 2.2.5, A-581/2016 vom 21. März 2017 E. 2.2.3 und E. 2.3, A-8199/2015 vom 6. Oktober 2016 E. 2.3, je mit weiteren Hinweisen).</w:t>
      </w:r>
    </w:p>
    <w:p>
      <w:r>
        <w:rPr>
          <w:b/>
        </w:rPr>
        <w:t>E. 3.1</w:t>
      </w:r>
    </w:p>
    <w:p>
      <w:r>
        <w:t>Im vorliegenden Fall genehmigte die OZD unter anderem eine «Verwendungsverpflichtung» für pflanzliche Fette und Öle der Tarifnummer 1507-1515 «zur industriellen Herstellung von Produkten der Tarifnummer 2103.9000», gestützt auf welche die Beschwerdeführerin in der streitbetroffenen Periode (Mai 2012 bis 23. März 2016) unter anderem Olivenöl der Tarifnummer 1509.1099 (zu Speisezwecken) - aus Italien in Kartonboxen à 10 Liter - zum zollbegünstigten Ansatz von Fr. 1.00 je 100 kg brutto zwecks Weiterverkauf an ihre Abnehmerin einführte (vgl. ausführlich: Sachverhalt Bst. B). Es liegt nicht im Streit, dass die Beschwerdeführerin in der streitbetroffenen Periode zwar einen Verwendungsvorbehalt auf ihren Verkaufs- und Lieferdokumenten an die Abnehmerin aufgedruckt hatte, dieser aber nicht dem Wortlaut gemäss Anhang 2 der ZEV entsprach (vgl. Beschwerde, Rz. 13 f.). Ebenso zu Recht unbestritten ist, dass zumindest das ursprünglich «beabsichtigte» Verarbeitungsprodukt der Abnehmerin der Beschwerdeführerin - nämlich eine Salatsauce gemäss deren Rezept - einem Produkt der Tarifnummer 2103.9000 entsprochen hätte. Im Weiteren wird von der Beschwerdeführerin im Rahmen des vorliegenden Verfahrens auch nicht mehr bestritten, dass die konkrete Art der Salatsaucenherstellung der Abnehmerin keine «industrielle Herstellung» darstellt und diese das Olivenöl teilweise auch effektiv nicht zur Salatsaucenherstellung, sondern zur Zubereitung von Pizzateig oder scharfem Pizza-Öl, zum Anbraten von Fleisch und Fisch sowie gegen das Verkleben von Pasta verwendet hat. Somit sind sich die Parteien mittlerweile einig, dass die Abnehmerin der Beschwerdeführerin gegen die Verwendungsverpflichtung verstossen hat (so insb.: Beschwerde Rz. 15-17, 20 und 22, jeweils mit Verweis auf den Beschwerdeentscheid vom 20. Februar 2019, ohne die entsprechenden Angaben zu bestreiten). Strittig und zu prüfen ist jedoch, wer für den Verstoss der Abnehmerin gegen die Verwendungsverpflichtung einzustehen hat bzw. wer hierfür nachleistungspflichtig ist (E. 3.2). Sodann muss unter anderem der Frage nachgegangen werden, ob die Beschwerdeführerin aufgrund des Verhältnismässigkeitsprinzips etwas für sich ableiten kann (E. 3.3) und ob allenfalls eine nachträgliche Veranlagung zum Präferenzansatz gerechtfertigt ist (E. 3.4).</w:t>
      </w:r>
    </w:p>
    <w:p>
      <w:r>
        <w:rPr>
          <w:b/>
        </w:rPr>
        <w:t>E. 3.2.1</w:t>
      </w:r>
    </w:p>
    <w:p>
      <w:r>
        <w:t>Die Beschwerdeführerin rügt unter anderem, die streitbetroffenen Abgaben seien nicht bei ihr nachzufordern, sondern bei der Abnehmerin. Aufgrund von Art. 8 ZEV sei die Abnehmerin verpflichtet gewesen, bei der OZD eine neue Zollanmeldung einzureichen. Die Abnehmerin habe das Olivenöl nicht korrekt verwendet, obwohl sie diese umfassend informiert habe. Sie habe mit der zuständigen Person bei der Abnehmerin, welche stark hierarchisch aufgebaut und zentral geführt werde, die Gesetzesänderungen besprochen und Letzterer die Mitteilung der OZD vom 11. Juni 2010 zugeschickt. Auch alle weiteren Schritte seien besprochen und somit sichergestellt worden, dass alle Restaurantbetriebe über die neuen Verwendungsregelungen im Bilde gewesen seien. Die Abnehmerin habe folglich genau Bescheid gewusst, wie sie das Öl zu verwenden gehabt hätte. Zudem habe sie auf den einzelnen Rechnungen einen Verwendungsvorbehalt - mit leicht abweichendem Text - angebracht. Die Abweichung des Textes sei aber unbeachtlich, da die Abnehmerin einerlei umfassend informiert worden sei und das Anbringen des vollständigen/korrekten Textes nichts an der konkreten Verwendung des Olivenöls durch die Abnehmerin geändert hätte und habe. Sie - so die Beschwerdeführerin abschliessend - habe nicht gewusst und habe auch nicht wissen können, dass der Verwendungszweck durch die Abnehmerin offenbar nicht eingehalten worden sei. Die Vorinstanz hält insbesondere dagegen, die Beschwerdeführerin sei unbestrittenermassen Importeurin des Olivenöls und gehöre somit zum Kreis der Zollschuldnerinnen und Zollschuldner. Zwar sei die Abnehmerin in der Tat anmeldepflichtige Person für die neue Zollanmeldung [ab dem Zeitpunkt der zweckfremden Verwendung] über den Differenzbetrag zwischen dem normalen und dem zollbegünstigten Zollansatz. Dies entbinde die Beschwerdeführerin jedoch nicht von ihrer Eigenschaft als Zollschuldnerin; auch nicht bezüglich des Differenzbetrags, für welchen die Zollschuld bedingt bestehe. Werde die Ware korrekt im Sinne von Art. 8 ZEV weitergegeben, könne dem Importeur für den Fall einer zweckfremden Verwendung kein Verschulden angelastet werden, wobei das Verschulden aber weder für die Entstehung der Zollschuld noch bei der Definition der Zollschuldner vorausgesetzt werde. Zollschuldner seien hinsichtlich einer Abgabennachforderung im Sinne von Art. 12 VStrR leistungspflichtig, wobei diese solidarisch haften würden. Die Zollbehörde könne auf einen beliebigen Leistungspflichtigen greifen.</w:t>
      </w:r>
    </w:p>
    <w:p>
      <w:r>
        <w:rPr>
          <w:b/>
        </w:rPr>
        <w:t>E. 3.2.2</w:t>
      </w:r>
    </w:p>
    <w:p>
      <w:r>
        <w:t>Zu den Nachleistungspflichtigen im Sinne von Art. 12 VStrR gehören insbesondere die Zollschuldnerinnen oder Zollschuldner gemäss Art. 70 ZG. Sie haften solidarisch für den gesamten nicht erhobenen Abgabebetrag (zum Ganzen: E. 2.3.2). Die Beschwerdeführerin führte das streitbetroffene Olivenöl zwecks Weiterverkauf an ihre Abnehmerin ein (vgl. Sachverhalt Bst. B.b). Unbestrittenermassen wird die Beschwerdeführerin in den massgeblichen Veranlagungsverfügungen als Importeurin und Empfängerin des Olivenöls aufgeführt (VB 9). Die Beschwerdeführerin hat vorliegend somit die Einfuhr veranlasst und ist Zollschuldnerin im Sinne von Art. 70 Abs. 2 ZG. Als Zollschuldnerin ist die Beschwerdeführerin - solidarisch mit allfälligen weiteren Leistungspflichtigen - nachleistungspflichtig im Sinn von Art. 12 Abs. 2 VStrR für die zu Unrecht nicht bezahlten Zollabgaben und Einfuhrsteuern. Hierzu zählt gerade auch die Abgabendifferenz, welche sich vorliegend dadurch ergibt, dass das zollbegünstigt importierte Olivenöl durch die Abnehmerin nicht gemäss der Verwendungsverpflichtung gebraucht bzw. nachträglich zu anderen, höheren Zollabgaben unterliegenden Zwecken verwendet wurde (vgl. Art. 14 Abs. 4 ZG). Die Nachleistungspflicht nach Art. 12 VStrR bedingt sodann eine Zollwiderhandlung. Eine solche wurde vorliegend begangen, da unbestrittenermassen der Verwendungszweck nicht eingehalten wurde (vgl. E. 3.1). Die Zollwiderhandlung muss im Übrigen nicht durch die Beschwerdeführerin selbst begangen worden sein (vgl. E. 2.3.2). Schon gar nicht muss der Beschwerdeführerin ein strafrechtlich relevantes Verschulden vorgeworfen werden können. Die Nachleistungspflicht gilt insbesondere auch dann, wenn sie nichts von der falschen bzw. fehlenden Deklaration gewusst oder selber keinen persönlichen Nutzen aus der Widerhandlung gezogen hat (vgl. E. 2.3.2). Ihre diesbezüglichen Vorbringen verfangen daher nicht. Aufgrund des Gesagten ist es unerheblich, ob die Beschwerdeführerin selbst eine Widerhandlung gegen das Zollgesetz begangen hat, oder ob solches (nur) der Abnehmerin vorzuwerfen war. Schliesslich zielen auch die Ausführungen der Beschwerdeführerin bezüglich der Anbringung des Verwendungsvorbehalts ins Leere, da dieser einzig für ein allfälliges Strafverfahren, nicht aber für die Nachleistungspflicht massgeblich wäre.</w:t>
      </w:r>
    </w:p>
    <w:p>
      <w:r>
        <w:rPr>
          <w:b/>
        </w:rPr>
        <w:t>E. 3.2.3</w:t>
      </w:r>
    </w:p>
    <w:p>
      <w:r>
        <w:t>Da die Beschwerdeführerin als Zollschuldnerin zu qualifizieren ist, wird sie nachleistungspflichtig und zwar unabhängig davon, ob vorliegend auch die Abnehmerin zu den Nachleistungspflichtigen zählt. Der Rückgriff unter den Zollschuldnerinnen und Zollschuldnern richtet sich nach dem Obligationenrecht (Art. 70 Abs. 3 ZG).</w:t>
      </w:r>
    </w:p>
    <w:p>
      <w:r>
        <w:rPr>
          <w:b/>
        </w:rPr>
        <w:t>E. 3.3.1</w:t>
      </w:r>
    </w:p>
    <w:p>
      <w:r>
        <w:t>Sodann macht die Beschwerdeführerin geltend, es sei unverhältnismässig, aufgrund eines formell unvollständigen Verwendungsvorbehalts (vgl. Art. 8 ZEV), welcher auch bei korrekter Anbringung nichts an der effektiven Verwendung der Abnehmerin geändert hätte, die Beschwerdeführerin als nachleistungspflichtig zu erklären. Vorliegend bestünde durchaus Spielraum für eine Verhältnismässigkeitsprüfung. Die Nachforderung sei auch unter dem Aspekt des überspitzten Formalismus unzulässig.</w:t>
      </w:r>
    </w:p>
    <w:p>
      <w:r>
        <w:rPr>
          <w:b/>
        </w:rPr>
        <w:t>E. 3.3.2</w:t>
      </w:r>
    </w:p>
    <w:p>
      <w:r>
        <w:t>Auch mit diesem Vorbringen dringt die Beschwerdeführerin nicht durch. Aufgrund des Anwendungsgebots von Art. 190 der Bundesverfassung der Schweizerischen Eidgenossenschaft vom 18. April 1999 (BV, SR 101) verbleibt für Verhältnismässigkeitsüberlegungen nämlich kein Raum, wenn eine Norm vom Bundesgesetzgeber so gewollt ist und innerhalb des diesem eröffneten Regelungsermessens liegt (Urteil des BGer 2C_703/2009 und 2C_22/2010 vom 21. September 2010 E. 4.4.2; Urteile des BVGer A-2962/2018 vom 13. März 2019 E. 3.3.5 und A-7025/2016 vom 5. Juli 2017 E. 1.2.4 mit weiteren Hinweisen). Entgegen dem Vorbringen der Beschwerdeführerin ergibt sich deren Nachleistungspflicht zudem gar nicht aus Art. 8 ZEV, sondern aus Art. 12 VStrR. Danach sind Abgaben nachzuentrichten, wenn sie infolge einer objektiven Widerhandlung gegen die Verwaltungsgesetzgebung des Bundes zu Unrecht nicht erhoben worden sind. Dies ist unter anderem der Fall, wenn eine einschlägige Verwendungsverpflichtung nicht eingehalten worden ist. Nachleistungspflichtig sind insbesondere die Personen, welche dem Kreis der Zollschuldnerinnen und Zollschuldner gemäss Art. 70 ZG entsprechen (E. 2.3.2 und E. 3.2; siehe auch: E. 2.2.1, letzter Abschnitt).</w:t>
      </w:r>
    </w:p>
    <w:p>
      <w:r>
        <w:rPr>
          <w:b/>
        </w:rPr>
        <w:t>E. 3.4.1</w:t>
      </w:r>
    </w:p>
    <w:p>
      <w:r>
        <w:t>Schliesslich beantragt die Beschwerdeführerin eventualiter, das streitbetroffene Olivenöl sei zum Präferenzzollansatz für Ursprungsware aus der EU zu veranlagen. Hierzu führt sie aus, [im Zeitpunkt der Anmeldung] habe für einen Antrag auf eine präferenzielle Verzollung keinerlei Anlass bestanden, da sie die Ware mit der Verwendungsverpflichtung zu einem tieferen Ansatz habe einführen können. Sie habe sich im Zeitpunkt der Anmeldung «in einem Irrtum hinsichtlich des zu beantragenden Zollverfahrens» befunden. Die Nachforderung bedrohe ihre Existenz. Insgesamt sei von einer absoluten Ausnahmesituation auszugehen, weshalb eine nachträgliche Anmeldung als Ursprungsware zuzulassen sei. Die Vorinstanz wendet ein, eine Einzelfallabweichung von den grundsätzlich strengen zollgesetzlichen Regelungen bzgl. Präferenzveranlagung sei vorliegend nicht gerechtfertigt. Die Beschwerdeführerin habe im Übrigen bis heute keine gültigen Ursprungsnachweise angeboten.</w:t>
      </w:r>
    </w:p>
    <w:p>
      <w:r>
        <w:rPr>
          <w:b/>
        </w:rPr>
        <w:t>E. 3.4.2</w:t>
      </w:r>
    </w:p>
    <w:p>
      <w:r>
        <w:t>Fehlt der rechtlich vorgesehene, gültige Ursprungsnachweis im Zeitpunkt der Zollanmeldung und wird dabei kein Antrag auf provisorische Veranlagung gestellt (und ist auch keine Berichtigung nach Art. 34 ZG rechtzeitig erfolgt bzw. unterdessen nicht mehr möglich), führt dies nach konstanter Rechtsprechung letztlich zum Verlust des präferenziellen Ursprungs einer Ware als Bemessungsgrundlage und ist die Ware zum Normaltarif zu verzollen (E. 2.4.2).</w:t>
      </w:r>
    </w:p>
    <w:p>
      <w:r>
        <w:rPr>
          <w:b/>
        </w:rPr>
        <w:t>E. 3.4.3</w:t>
      </w:r>
    </w:p>
    <w:p>
      <w:r>
        <w:t>Im vorliegenden Fall hat die Beschwerdeführerin unbestrittenermassen im Zeitpunkt der definitiven Zollanmeldung keine Präferenzveranlagung beantragt (einen Antrag auf provisorische Veranlagung hat sie unterlassen), sondern das streitbetroffene Olivenöl im Sinn von Art. 14 ZG zollbegünstigt eingeführt («Zollerleichterungen für Waren je nach Verwendungszweck»). Mangels rechtlich vorgesehener, gültiger Ursprungsnachweise - und da innert der 30-tägigen Berichtigungsfrist auch kein Gesuch um Berichtigung der Zollveranlagung gestellt wurde bzw. unterdessen nicht mehr möglich ist (vgl. hierzu: E. 2.4.3) -, ist das Vorgehen der Vorinstanz nicht zu beanstanden. Bei dieser Sachlage kann in antizipierter Beweiswürdigung (vgl. dazu statt vieler: BGE 131 I 153 E. 3; Urteile des BVGer A-321/2019 vom 17. September 2019 E. 2.2, A-714/2018 vom 23. Januar 2019 E. 2.3, A-1746/2016 vom 17. Januar 2017 E. 1.5.5) auf die beantragte Parteibefragung verzichtet werden.</w:t>
      </w:r>
    </w:p>
    <w:p>
      <w:r>
        <w:rPr>
          <w:b/>
        </w:rPr>
        <w:t>E. 3.5</w:t>
      </w:r>
    </w:p>
    <w:p>
      <w:r>
        <w:t>Letztlich verkennt das Bundesverwaltungsgericht nicht, dass eine Nachforderung in Höhe von rund Fr. 247'000.-- ein Unternehmen finanziell schwer treffen kann. Indes beruht die Nachleistungspflicht - wie in Erwägung 3.3.2 aufgezeigt - auf klarer bundesgesetzlicher Grundlage, weshalb das Vorgehen der Vorinstanz mit Blick auf das Anwendungsgebot von Art. 190 BV gerechtfertigt ist.</w:t>
      </w:r>
    </w:p>
    <w:p>
      <w:r>
        <w:rPr>
          <w:b/>
        </w:rPr>
        <w:t>E. 4</w:t>
      </w:r>
    </w:p>
    <w:p>
      <w:r>
        <w:t>In rechnerischer Hinsicht und bezüglich der mit dem angefochtenen Beschwerdeentscheid festgesetzten Verzugszinsfolgen wird die Nachforderung nicht bestritten. Es ergeben sich aus den Akten auch keine Anhaltspunkte, die an der vorinstanzlichen Berechnung oder den Verzugszinsfolgen Zweifel aufkommen lassen. Insgesamt erweist sich der vorinstanzliche Beschwerdeentscheid als rechtmässig. Die Beschwerde ist somit vollumfänglich abzuweisen.</w:t>
      </w:r>
    </w:p>
    <w:p>
      <w:r>
        <w:rPr>
          <w:b/>
        </w:rPr>
        <w:t>E. 5.1</w:t>
      </w:r>
    </w:p>
    <w:p>
      <w:r>
        <w:t>Ausgangsgemäss sind die auf Fr. 8'500.-- festzusetzenden Verfahrenskosten der Beschwerdeführerin aufzuerlegen (vgl. Art. 63 Abs. 1 VwVG). Der in gleichem Umfang einbezahlte Kostenvorschuss ist zur Begleichung der Verfahrenskosten zu verwenden.</w:t>
      </w:r>
    </w:p>
    <w:p>
      <w:r>
        <w:rPr>
          <w:b/>
        </w:rPr>
        <w:t>E. 5.2</w:t>
      </w:r>
    </w:p>
    <w:p>
      <w:r>
        <w:t>Eine Parteientschädigung an die unterliegende Beschwerdeführerin ist nicht zuzusprechen (vgl.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