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A-1480/2006 vom 11. Juli 2007</w:t>
      </w:r>
    </w:p>
    <w:p>
      <w:r>
        <w:t>Bundesverwaltungsgericht, 2007-07-11, DE</w:t>
      </w:r>
    </w:p>
    <w:p>
      <w:r>
        <w:rPr>
          <w:b/>
        </w:rPr>
        <w:t xml:space="preserve">Quelle: </w:t>
      </w:r>
      <w:r>
        <w:t>https://mcp.opencaselaw.ch/entscheid/bvger_A-1480_2006</w:t>
      </w:r>
    </w:p>
    <w:p>
      <w:r>
        <w:t>FR: TAF A-1480/2006 du 11 juillet 2007</w:t>
      </w:r>
    </w:p>
    <w:p>
      <w:r>
        <w:t>IT: TAF A-1480/2006 del 11 luglio 2007</w:t>
      </w:r>
    </w:p>
    <w:p>
      <w:pPr>
        <w:pStyle w:val="Heading2"/>
      </w:pPr>
      <w:r>
        <w:t>Regeste</w:t>
      </w:r>
    </w:p>
    <w:p>
      <w:r>
        <w:t>Mehrwertsteuer</w:t>
      </w:r>
    </w:p>
    <w:p>
      <w:pPr>
        <w:pStyle w:val="Heading2"/>
      </w:pPr>
      <w:r>
        <w:t>Erwägungen</w:t>
      </w:r>
    </w:p>
    <w:p>
      <w:r>
        <w:rPr>
          <w:b/>
        </w:rPr>
        <w:t>E. 1.1</w:t>
      </w:r>
    </w:p>
    <w:p>
      <w:r>
        <w:t>Auf dem Gebiet der Mehrwertsteuer konnten Einspracheentscheide der ESTV nach (dem inzwischen aufgehobenen) Art. 65 des Bundesgesetzes vom 2. September 1999 über die Mehrwertsteuer in der Fassung vom 25. Juni 2002 (MWSTG, SR 641.20) bzw. Art. 53 der Verordnung vom 22. Juni 1994 über die Mehrwertsteuer (MWSTV, AS 1994 1464) mit Beschwerde bei der SRK angefochten werden. Die SRK ist per 31. Dezember 2006 aufgelöst worden und das Bundesverwaltungsgericht hat am 1. Januar 2007 seine Tätigkeit aufgenommen. 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gegeben ist. Im Bereich der Mehrwertsteuer liegt eine solche Ausnahme nicht vor. Ebenfalls ist die ESTV Vorinstanz im Sinne von Art. 33 VGG. Das Bundes-verwaltungsgericht ist daher für die Beurteilung der vorliegenden Beschwerde zuständig. Es übernimmt am 1. Januar 2007 die Beurteilung des vorher bei der SRK hängigen Rechtsmittels und wendet das neue Verfahrensrecht an (Art. 53 Abs. 2 VGG).</w:t>
      </w:r>
    </w:p>
    <w:p>
      <w:r>
        <w:rPr>
          <w:b/>
        </w:rPr>
        <w:t>E. 1.2</w:t>
      </w:r>
    </w:p>
    <w:p>
      <w:r>
        <w:t>Am 1. Januar 2001 sind das MWSTG sowie die zugehörige Verordnung vom 29. März 2000 (MWSTGV; SR 641.201) in Kraft getreten. Der zu beurteilende Sachverhalt bezieht sich auf das Jahr 1998, so dass auf die vorliegende Beschwerde noch das alte Recht der MWSTV anwendbar ist (Art. 93 und 94 MWSTG).</w:t>
      </w:r>
    </w:p>
    <w:p>
      <w:r>
        <w:rPr>
          <w:b/>
        </w:rPr>
        <w:t>E. 2.1</w:t>
      </w:r>
    </w:p>
    <w:p>
      <w:r>
        <w:t>Die Lieferung von Gegenständen, die aus dem Inland direkt ins Ausland versandt werden, gelten nach Art. 11 Bst. a MWSTV grundsätzlich als im Inland erbracht (Ziffer 528 f. der Wegleitung 1997 für Mehrwertsteuer-pflichtige [Wegleitung 1997]; Urteil des Bundesverwaltungsgerichts A 1455/2006 vom 25. April 2007 E. 3.1.2). Von der Steuer sind solche Lieferungen von Gegenständen nur befreit, wenn sie direkt mit zollamtlichem Nachweis ins Ausland befördert oder versandt werden (Art. 15 Abs. 2 Bst. a MWSTV; Ziffer 532 f. Wegleitung 1997; Urteil des Bundesgerichts 2A.546/2003 vom 14. März 2005 E. 2.2; Alois Camenzind/Niklaus Honauer, Handbuch zur neuen Mehrwertsteuer, Bern Stuttgart Wien 1995, Rz. 582 ff.). Eine direkte Ausfuhr liegt vor, wenn der Gegenstand der Lieferung entweder vom Steuerpflichtigen selbst oder von seinem nicht steuerpflichtigen Abnehmer ins Ausland befördert oder versandt wird, ohne dass dieser Gegenstand vorher im Inland in Gebrauch genommen noch im Inland im Rahmen eines Liefergeschäfts einem Dritten übergeben wurde (Art. 15 Abs. 3 MWSTV; Urteil des Bundesverwaltungsgerichts vom 25. April 2007 a.a.O. E. 3.1.3, 3.2).</w:t>
      </w:r>
    </w:p>
    <w:p>
      <w:r>
        <w:rPr>
          <w:b/>
        </w:rPr>
        <w:t>E. 2.2</w:t>
      </w:r>
    </w:p>
    <w:p>
      <w:r>
        <w:t>Die Ausfuhr von Gegenständen hat aber nur dann steuerbefreiende Wirkung, wenn sie mit bestimmten zollamtlichen Dokumenten gemäss einer vom Eidgenössischen Finanzdepartement herausgegebenen Liste nachgewiesen ist (Art. 16 Abs. 1 und 2 MWSTV; Urteil des Bundsverwaltungsgerichts vom 25. April 2007 a.a.O. E. 4.1; Entscheide der SRK vom 20. Februar 2006, veröffentlicht in Verwaltungspraxis der Bundesbehörden [VPB] 70.76 E. 4b, vom 2. November 2004, veröffentlicht in VPB 69.64 E. 2b, vom 18. Juli 2003, veröffentlicht in VPB 68.19 E. 3d, vom 29. Mai 2002, veröffentlicht in VPB 66.98 E. 6; Kommentar zur Verordnung über die Mehrwertsteuer vom 22. Juni 1994 [Kommentar EFD] S. 20 f.). Nicht das Eidgenössische Finanzdepartement, aber die ESTV hat die als Nachweis geltenden zollamtlichen Dokumente kraft der Delegation von Art. 16 Abs. 2 MWSTV im Einzelnen in Ziffer 533 Wegleitung 1997 aufgeführt. Gemäss Ziffer 2.3.2 Praxismitteilung der ESTV über die "Behandlung von Formmängeln" vom 26. Oktober 2006 (Praxismitteilung), die als Ausfluss des Art. 45a MWSTGV auch rückwirkende Geltung hat (vgl. dazu Urteile des Bundes-verwaltungsgerichts vom 25. April 2007 a.a.O. E. 4.3, A-1365/2006 vom 19. März 2007 E. 2.3), wird die Steuerbefreiung auch gewährt, wenn in Einzelfällen ein falsches Formular verwendet wurde oder wenn die Ausfuhr anhand anderer zollamtlicher Dokumente (z. B. des Bestimmungslandes) einwandfrei nachgewiesen werden kann. Die Bestätigung der Leistungsempfängerin vermag einen solchen von Art. 16 Abs. 1 MWSTV (und auch Art. 20 Abs. 1 MWSTG) geforderten in- oder ausländischen zollamtlichen Nachweis jedoch nicht zu ersetzen.</w:t>
      </w:r>
    </w:p>
    <w:p>
      <w:r>
        <w:rPr>
          <w:b/>
        </w:rPr>
        <w:t>E. 2.3</w:t>
      </w:r>
    </w:p>
    <w:p>
      <w:r>
        <w:t>Können zollamtliche Ausfuhrbescheinigungen wegen des Ablaufs der zollamtlichen Aufbewahrungsfrist von zwei Jahren nicht mehr beim zuständigen Zollamt nachgefordert werden, kann die ESTV andere Beweismittel für die unter Beachtung der Zollvorschriften erfolgte Ausfuhr zulassen (z.B. Einfuhrzollbeleg des Bestimmungslandes), wenn der Steuerpflichtige solche Vorkommnisse unverzüglich meldet, nachdem er das Fehlen der zollamtlichen Ausfuhrbescheinigung bemerkt hat (Ziffer 542 Wegleitung 1997).</w:t>
      </w:r>
    </w:p>
    <w:p>
      <w:r>
        <w:rPr>
          <w:b/>
        </w:rPr>
        <w:t>E. 2.4</w:t>
      </w:r>
    </w:p>
    <w:p>
      <w:r>
        <w:t>Während es der Steuerverwaltung obliegt, die steuerbegründenden oder steuererhöhenden Tatsachen zu beweisen, hat der Steuerpflichtige den Beweis für die steuermindernden oder die steuerbefreienden Tatsachen zu erbringen (vgl. statt vieler Urteil des Bundesverwaltungsgerichts vom 25. April 2007 a.a.O. E. 4.1). Es obliegt daher der Beschwerdeführerin, im vorliegenden Fall den Nachweis durch zollamtliche schweizerische oder zollamtliche ausländische Dokumente zu erbringen, dass der Freifall-simulator durch sie oder von ihrem nicht steuerpflichtigen Abnehmer direkt ins Ausland befördert oder versandt worden ist, ohne dass dieser vorher im Inland in Gebrauch genommen oder im Inland im Rahmen eines Liefergeschäfts einem Dritten übergeben wurde. Der Export muss durch zollamtliche Papiere einwandfrei nachgewiesen sein. An diesen zwingenden Vorgaben von Art. 16 Abs. 1 MWSTV (bzw. Art. 20 Abs. 1 MWSTG) vermag auch Art. 45a MWSTGV nichts zu ändern (Urteil des Bundesverwaltungsgerichts vom 25. April 2007 a.a.O. E. 5.4). Für den Nachweis der Ausfuhr bildet nach der zitierten Rechtsprechung das Vorhandensein eines zollamtlichen Dokuments unabdingbar materielle Voraussetzung.</w:t>
      </w:r>
    </w:p>
    <w:p>
      <w:r>
        <w:rPr>
          <w:b/>
        </w:rPr>
        <w:t>E. 3.1.1</w:t>
      </w:r>
    </w:p>
    <w:p>
      <w:r>
        <w:t>Im vorliegenden Fall ist erwiesen, dass die B._______ am 25. Oktober 1995 der ägyptischen Regierung eine Offerte für einen Freifallsimulator unterbreitet hat, den anschliessend die Beschwerdeführerin für die B._______ in der Schweiz teilweise baute bzw. durch einen Dritten auf ihre Rechnung bauen liess. Dafür stellte die C._______ am 15. Juni 1998 der Beschwerdeführerin Rechnung im Umfang von Fr. 713'859.55. Es ist auch erwiesen, dass die B._______ am 12. November 1996 mit der ägyptischen Regierung einen Liefervertrag über einen solchen Freifallsimulator abschloss und am 23. Juli 1998 dafür der ägyptischen Regierung Rechnung stellte. Nicht nachgewiesen hingegen ist der Ort und der Zeitpunkt des Verkaufs bzw. der Lieferung des Freifallsimulators von der Beschwerdeführerin an die B._______.</w:t>
      </w:r>
    </w:p>
    <w:p>
      <w:r>
        <w:rPr>
          <w:b/>
        </w:rPr>
        <w:t>E. 3.1.2</w:t>
      </w:r>
    </w:p>
    <w:p>
      <w:r>
        <w:t>Gemäss dem Speditionsauftrag der Beschwerdeführerin vom 18. Mai 1998 wurden bei der C._______, Langenthal, mit Bestimmungsland USA "2 ''Shippers own'' 40' Container komplette Antriebseinheit für Freifallsimulator inkl. Zubehör 2 Dieselmotoren, Winkelgetriebe, elektr. Steuerung, Tank, Auspuffrohre" abgeholt. Es ist damit erstellt, dass es sich um den von der oder für die Beschwerdeführerin gebauten Freifall-simulator handelte. Am 25. Mai 1998 bestätigte die D._______AG der Beschwerdeführerin den Versand der beiden Container ab Rotterdam am selben Tag. Als Absender war die B._______, Las Vegas, c/o Beschwerdeführerin, vermerkt und am 29. Mai 1998 stellte die D._______AG der Beschwerdeführerin Rechnung für die Versendung der beiden Container.</w:t>
      </w:r>
    </w:p>
    <w:p>
      <w:r>
        <w:rPr>
          <w:b/>
        </w:rPr>
        <w:t>E. 3.1.3</w:t>
      </w:r>
    </w:p>
    <w:p>
      <w:r>
        <w:t>Die D._______Inc. (USA) wiederum bestätigte, "2 40'shipper owned containers s.t.c 263 pieces" am 1. Juni 1998 in Harmans/USA erhalten zu haben. Von den USA wurden die beiden Container offensichtlich nach Aegypten verschifft. Die Beschwerdeführerin liess den Freifallsimulator in Aegypten aufstellen und hat daran in der Folge u.a. Garantie- und Unterhaltsarbeiten vorgenommen.</w:t>
      </w:r>
    </w:p>
    <w:p>
      <w:r>
        <w:rPr>
          <w:b/>
        </w:rPr>
        <w:t>E. 3.2</w:t>
      </w:r>
    </w:p>
    <w:p>
      <w:r>
        <w:t>Es ist damit zwar wahrscheinlich, dass die Beschwerdeführerin die zwei Caterpillar-Dieselmotoren ins Ausland transportiert hat bzw. transportieren liess. Sie kann jedoch trotz allem den von Art. 15 Abs. 2 Bst. a und Abs. 3 i.V.m. Art. 16 Abs. 1 MWSTV ausdrücklich geforderten zollamtlichen Nachweis für die direkte Ausfuhr nicht erbringen. Weder verfügt sie über ein zollamtliches Ausfuhrdokument einer schweizerischen noch über ein zollamtliches Einfuhrdokument einer ausländischen Behörde (vgl. E. 2.2 - 2.4 hiervor). Die vorgelegten Bestätigungen, seien sie auch von einem fremden Staat ausgestellt, sind privatrechtliche Bestätigungen des Leistungsempfängers und keine zollamtlichen Papiere im Sinn von Art. 16 Abs. 1 MWSTV. Daran ändert auch nichts, falls - wie vorliegend vorgebracht - überhaupt keine Einfuhrzolldokumente existieren können. Insbesondere hat damit die Beschwerdeführerin, wie erwähnt, den Ort und den Zeitpunkt ihrer Lieferung an die B._______ nicht rechtsgenügend bewiesen. Die Beschwerdeführerin ist damit ihrer Beweispflicht einer steuerbefreienden Tatsache nicht nachgekommen. Art. 45a MWSTGV bedeutet überdies nicht, dass die klaren Formvorschriften, wie sie Art. 16 Abs. 1 MWSTV für die Ausfuhr durch zollamtliche Papiere festhält, nicht mehr anwendbar wären. Es können diese zollamtlichen Ausfuhrpapiere lediglich durch solche des Einfuhrstaates, nicht aber durch beliebige privatrechtliche Bestätigungen, ersetzt werden (vgl. E. 2.4 hiervor). Die Beschwerde ist aus diesen Gründen abzuweisen. Es kann mithin auch offen bleiben, ob die Beschwerdeführerin im Sinn der Ziffer 542 Wegleitung 1997 der ESTV unverzüglich das Fehlen des zollamtlichen Ausfuhrdokuments meldete, als sie dessen Fehlen bemerkte. Die unverzügliche Meldung ist - soweit nicht Art. 45a MWSTGV angerufen wird - Voraussetzung dafür, dass die ESTV z.B. den Einfuhrzollbeleg des Bestimmungslandes zulassen kann. Auch diesen hat die Beschwerdeführerin nicht beschaffen können. Weshalb dies nicht der Fall war, muss für das vorliegende Verfahren ebenso unerheblich bleiben wie die Beantwortung der Frage, weshalb die schweizerischen zollamtlichen Ausfuhrdokumente fehlen und wer hierfür gegebenenfalls einzustehen hat.</w:t>
      </w:r>
    </w:p>
    <w:p>
      <w:r>
        <w:rPr>
          <w:b/>
        </w:rPr>
        <w:t>E. 4</w:t>
      </w:r>
    </w:p>
    <w:p>
      <w:r>
        <w:t>Bei diesem Ausgang des Verfahrens hat die Beschwerdeführerin die Verfahrenskosten zu tragen (Art. 63 Abs. 1 VwVG). Sie werden gemäss Art. 4 des Reglements vom 11. Dezember 2006 über die Kosten und Entschädigungen vor dem Bundesverwaltungsgericht (VGKE, SR 173.320.2) auf Fr. 3'000.-- festgesetzt und mit dem Kostenvorschuss gleicher Höhe verrechnet. Eine Parteientschädigung wird unter diesen Umständen nicht ausgerichtet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