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A-1478/2006 vom 10. März 2008</w:t>
      </w:r>
    </w:p>
    <w:p>
      <w:r>
        <w:t>Bundesverwaltungsgericht, 2008-03-10, DE</w:t>
      </w:r>
    </w:p>
    <w:p>
      <w:r>
        <w:rPr>
          <w:b/>
        </w:rPr>
        <w:t xml:space="preserve">Quelle: </w:t>
      </w:r>
      <w:r>
        <w:t>https://mcp.opencaselaw.ch/entscheid/bvger_A-1478_2006</w:t>
      </w:r>
    </w:p>
    <w:p>
      <w:r>
        <w:t>FR: TAF A-1478/2006 du 10 mars 2008</w:t>
      </w:r>
    </w:p>
    <w:p>
      <w:r>
        <w:t>IT: TAF A-1478/2006 del 10 marzo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Beschwerden sachlich wie funktionell zuständig (Art. 31, 32 und 33 Bst. d VGG).</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Unter den gleichen Voraussetzungen können auch getrennt eingereichte Beschwerden in einem Verfahren vereinigt werden. Ein solches Vorgehen dient der Verfahrensökonomie und liegt im Interesse aller Beteiligten (Urteil des Bundesverwaltungsgerichts A 1435/2006 / A-1584/2006 vom 8. Februar 2007 E. 1.2; Entscheide der SRK vom 14. Juni 2005 [SRK 2004-168/169] E. 1c, und vom 6. Oktober 2004 [SRK 2003-004/005] E. 1b; André Moser, in André Moser/Peter Uebersax, Prozessieren vor eidgenössischen Rekurskommissionen, Basel und Frankfurt a. M. 1998, S. 89 f. Rz. 3.12). Diese Voraussetzungen sind vorliegend erfüllt. In beiden Fällen ist dasselbe Steuersubjekt betroffen. Die Beurteilung der Frage, ob der Beschwerdeführer zur Vornahme der Einlageentsteuerung auf dem Wert des Werkstatt-Inventars per 1. April 2003 sowie des Vorsteuerabzugs auf den Investitionen während der Zeit vom 1. April bis 31. Dezember 2003 berechtigt ist, steht in direktem Zusammenhang mit der beschwerdeführerischen Auffassung, dass er für das 1. Quartal 2004 aufgrund des Guthabens am 31. Dezember 2003 per Saldo keine Mehrwertsteuer schulde. Zudem ist in beiden Verfahren die Rechtmässigkeit der eingeleiteten Betreibungen sowie der Auferlegung der vorinstanzlichen Verfahrenskosten zu überprüfen. Der Vertreter des Beschwerdeführers hat die besagten Einspracheentscheide denn auch mit einer einzigen Eingabe angefochten. Die Verfahren A 1477/2006 und A 1478/2006 werden demnach zusammengelegt.</w:t>
      </w:r>
    </w:p>
    <w:p>
      <w:r>
        <w:rPr>
          <w:b/>
        </w:rPr>
        <w:t>E. 1.3</w:t>
      </w:r>
    </w:p>
    <w:p>
      <w:r>
        <w:t>Das Bundesverwaltungsgericht kann die angefochtenen 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2.1</w:t>
      </w:r>
    </w:p>
    <w:p>
      <w:r>
        <w:t>Der Mehrwertsteuer unterliegen im Inland gegen Entgelt erbrachte Lieferungen von Gegenständen, im Inland gegen Entgelt erbrachte Dienstleistungen, der Eigenverbrauch sowie der Bezug von Dienstleistungen gegen Entgelt von Unternehmen mit Sitz im Ausland (Art. 5 Bst. a - d MWSTG).</w:t>
      </w:r>
    </w:p>
    <w:p>
      <w:r>
        <w:rPr>
          <w:b/>
        </w:rPr>
        <w:t>E. 2.2.1</w:t>
      </w:r>
    </w:p>
    <w:p>
      <w:r>
        <w:t>Verwendet die steuerpflichtige Person Gegenstände oder Dienstleistungen für steuerbare Ausgangsleistungen, so kann sie in ihrer Steuerabrechnung die ihr von anderen Steuerpflichtigen in Rechnung gestellte Steuer für Lieferungen und Dienstleistungen abziehen. Die Rechnungen bzw. Belege müssen mit den Angaben nach Art. 37 MWSTG versehen sein (Art. 38 Abs. 1 und 2 MWSTG). Erfüllen die Vorsteuerbelege die formellen Anforderungen nicht, muss der Vorsteuerabzug verweigert werden (Urteil des Bundesgerichts 2A.406/2003 E. 4 ff.; Urteil des Bundesverwaltungsgerichts A-1476/2006 vom 26. April 2007 E. 4.2.1; Entscheide der SRK vom 25. März 2002, veröffentlicht in Verwaltungspraxis der Bundesbehörden [VPB] 66.97 E. 4b, vom 15. Oktober 1999, veröffentlicht in VPB 64.47 E. 4). Nach neuem Verordnungsrecht (in Kraft seit 1. Juli 2006) hat die ESTV auch Rechnungen und Rechnungen ersetzende Dokumente anzuerkennen, welche die Anforderungen an die Angaben zu Namen und Adresse der steuerpflichtigen Person und zum Empfänger der Lieferung oder der Dienstleistung nach Art. 37 Abs. 1 Bst. a und b MWSTG nicht vollumfänglich erfüllen, sofern die tatsächlich vorhandenen Angaben die betreffenden Personen eindeutig identifizieren (Art. 15a der Verordnung vom 29. März 2000 zum Bundesgesetz über die Mehrwertsteuer [MWSTGV, SR 641.201]).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zur Rechtmässigkeit dieser neuen Bestimmungen und deren rückwirkenden Anwendung ausführlich: Urteile des Bundesverwaltungsgerichts A-1438/2006 vom 11. Juni 2007 E. 3.3, A-1476/2006 vom 26. April 2007 E. 4.2.3, A-1352/2006 vom 25. April 2007 E. 6, A-1455/2006 vom 25. April 2007 E. 5.4). Allerdings bleibt das Vorhandensein einer Rechnung (oder eines entsprechenden Belegs) eine unabdingbare, materiellrechtliche Voraussetzung für den Vorsteuerabzug. Fehlt die Rechnung, kann dieser Mangel nicht durch Art. 15a oder 45a MWSTGV geheilt werden. Hingegen können die einzelnen formellen Anforderungen betreffend den Inhalt der Rechnung von Art. 15a und 45a MWSTGV gegebenenfalls erfasst werden (Urteile des Bundesverwaltungsgerichts A-1389/2006 vom 21. Januar 2008 E. 4.1, A-1438/2006 vom 11. Juni 2007 E. 3.2 und 3.3, A-1476/2006 vom 26. April 2007 E. 5.2.2).</w:t>
      </w:r>
    </w:p>
    <w:p>
      <w:r>
        <w:rPr>
          <w:b/>
        </w:rPr>
        <w:t>E. 2.2.2</w:t>
      </w:r>
    </w:p>
    <w:p>
      <w:r>
        <w:t>Waren die Voraussetzungen des Vorsteuerabzugs beim Empfang der Lieferung oder der Dienstleistung nicht gegeben, treten sie jedoch später ein, so kann im Rahmen von Art. 42 Abs. 1 MWSTG der Vorsteuerabzug in der Abrechnung über diejenige Steuerperiode vorgenommen werden, in welcher die Voraussetzungen hiefür eingetreten sind (so genannte Einlageentsteuerung; vgl. zum Begriff Tobias Felix Rohner, Der nachträgliche Vorsteuerabzug [Einlageentsteuerung] im schweizerischen MWSTG und nach der 6. MwSt.-Richtlinie der EU, Bern 2007, S. 3 ff. mit Hinweisen). Wurde der Gegenstand in der Zeit zwischen dem Empfang der Lieferung und dem Eintritt der Voraussetzungen für den Vorsteuerabzug in Gebrauch genommen, so vermindert sich die abziehbare Vorsteuer für jedes in dieser Zeitspanne abgelaufene Jahr bei beweglichen Gegenständen linear um 1/5, bei unbeweglichen Gegenständen linear um 1/20 (Art. 42 Abs. 3 1. Satz MWSTG). Beim Instrument der Einlageentsteuerung handelt es sich lediglich um einen Sonderfall des Vorsteuerabzugsrechts, bei dem der Zeitpunkt der Anspruchentstehung auf Entsteuerung später entsteht oder wieder auflebt (Rohner, a.a.O., S. 6, vgl. auch die Eingliederung von Art. 42 MWSTG unter das 4. Kapitel des 2. Titels, welches den Vorsteuerabzug regelt). Voraussetzung zur Vornahme einer Einlageentsteuerung ist demnach auch hier das Vorhandensein von Rechnungen bzw. Belegen, welche den Anforderungen an Art. 37 MWSTG genügen (Alois Camenzind/Niklaus Honauer/Klaus A. Vallender, Handbuch zum Mehrwertsteuergesetz [MWSTG], Bern 2003, 2. Aufl., S. 507; Michaela Merz, Mehrwertsteuer im Gemeinwesen - Ausgewählte Problemkreise, Der Schweizer Treuhänder [ST] 2003 S. 548; Rohner, a.a.O., S. 6, 94 und 130 ff.).</w:t>
      </w:r>
    </w:p>
    <w:p>
      <w:r>
        <w:rPr>
          <w:b/>
        </w:rPr>
        <w:t>E. 2.2.3</w:t>
      </w:r>
    </w:p>
    <w:p>
      <w:r>
        <w:t>Da es sich bei den Vorsteuern um steuermindernde Tatsachen handelt, obliegt der formgerechte Beweis für deren Vorliegen dem Steuerpflichtigen (Urteil des Bundesgerichts 2A.406/2002 vom 31. März 2004 E. 3.4; Urteil des Bundesverwaltungsgerichts A-1373/2006 vom 16. November 2007 E. 2.1; Entscheid der SRK vom 14. Januar 2005, veröffentlicht in VPB 69.88 E. 3c/bb mit Hinweis).</w:t>
      </w:r>
    </w:p>
    <w:p>
      <w:r>
        <w:rPr>
          <w:b/>
        </w:rPr>
        <w:t>E. 3</w:t>
      </w:r>
    </w:p>
    <w:p>
      <w:r>
        <w:t>Im vorliegenden Fall hat der Beschwerdeführer in der Teilabrechnung 2. Quartal 2003, welche für die Steuerperioden 2. - 4. Quartal 2003 (Zeit vom 1. April bis 31. Dezember 2003) erstellt wurde, eine Einlageentsteuerung in Höhe von Fr. 5'317.40 auf dem Inventarwert der Werkstatt per 1. April 2003 sowie einen Vorsteuerabzug von Fr. 3'676.45 auf regulären Investitionen während der Zeit vom 1. April bis 31. Dezember 2003, ausmachend gesamthaft Fr. 8'993.85, geltend gemacht. Die ESTV hat diese Vorsteuerabzüge nicht anerkannt und mit der EA Nr. ... vom 17. August 2004 zurückgefordert.</w:t>
      </w:r>
    </w:p>
    <w:p>
      <w:r>
        <w:rPr>
          <w:b/>
        </w:rPr>
        <w:t>E. 3.1</w:t>
      </w:r>
    </w:p>
    <w:p>
      <w:r>
        <w:t>Obschon der Beschwerdeführer mehrmals von der ESTV aufgefordert worden ist, betreffend die umstrittenen Vorsteuerabzüge Einkaufsbelege einzureichen (mit Schreiben vom 1. April, 17. Mai sowie 16. Juni 2004), ist der Beschwerdeführer dieser Anordnung nicht nachgekommen. Er hat lediglich verschiedene Kontoauszüge aus der Buchhaltung und eine Abschreibungswerttabelle des Werkstatt-Inventars eingereicht. Auch im Einspracheverfahren und im jetzigen Beschwerdeverfahren vor der SRK bzw. dem Bundesverwaltungsgericht wurde keine einzige Rechnung bzw. kein Beleg vorgelegt. Entgegen der Auffassung des Beschwerdeführers reichen Buchhaltungsunterlagen indes nicht aus, um eine Berechtigung zur Vornahme des Vorsteuerabzugs, ob nun gemäss Art. 38 oder gestützt auf Art. 42 MWSTG, zu begründen. Nach der eindeutigen Rechtslage besteht eine solche Berechtigung nur insoweit, als Rechnungen oder entsprechende Belege vorhanden sind, welche den Anforderungen an Art. 37 MWSTG genügen (vgl. E. 2.2.1 und 2.2.2 hievor). Diesen Nachweis hat der Beschwerdeführer jedoch bis zum heutigen Zeitpunkt nicht erbracht. Aufgrund der Verteilung der Beweislast hat er die Folgen der Beweislosigkeit zu tragen (vgl. E. 2.2.3 hievor). Die ESTV hat die fraglichen Vorsteuerabzüge in Höhe von Fr. 8'993.95 mangels Belegen demnach zu Recht verweigert. Die Beschwerden sind in diesem Punkt abzuweisen. Soweit der Beschwerdeführer im Übrigen mit seinem Antrag auf Neubeurteilung der Einlageentsteuerung auf dem Werkstatt-Inventar die Rückweisung an die ESTV verlangt, ist er ebenfalls nicht zu hören. Er selber hat in der Beschwerde angegeben, dass betreffend die Einlageentsteuerung des Werkstatt-Inventars keine Belege beigebracht werden könnten. Die Behauptung, wonach er gestützt auf die Gesetzesbestimmungen die Voraussetzungen für die Einlageentsteuerung erfülle und dies gesetzeskonform mit Datum vom 2. März 2004 erstellt habe, erweist sich damit als unzutreffend. Daran würde auch ein Augenschein durch die ESTV vor Ort, welcher vom Beschwerdeführer beantragt wird, nichts zu ändern vermögen.</w:t>
      </w:r>
    </w:p>
    <w:p>
      <w:r>
        <w:rPr>
          <w:b/>
        </w:rPr>
        <w:t>E. 3.2</w:t>
      </w:r>
    </w:p>
    <w:p>
      <w:r>
        <w:t>Angesichts der vorstehenden Ausführungen erhellt, dass der Beschwerdeführer gegenüber der ESTV per 31. Dezember 2003 über gar kein Guthaben verfügt. Eine Verrechnung, wie er in der Beschwerde beantragt, ist demnach von vornherein nicht möglich. Der Beschwerdeführer schuldet der ESTV folglich für das 1. Quartal 2004 - wie er in der Abrechnung selber deklariert hat - Fr. 679.55 Mehrwertsteuer, zuzüglich Verzugszins. Die Beschwerden erweisen sich somit auch diesbezüglich als unbegründet. Der Vollständigkeit halber sei schliesslich darauf hingewiesen, dass eine Verrechnung gegen den Willen der ESTV ohnehin nicht möglich wäre (Art. 125 Ziff. 3 des Obligationenrechts vom 30. März 1911 [OR, SR 220]).</w:t>
      </w:r>
    </w:p>
    <w:p>
      <w:r>
        <w:rPr>
          <w:b/>
        </w:rPr>
        <w:t>E. 3.3</w:t>
      </w:r>
    </w:p>
    <w:p>
      <w:r>
        <w:t>Demnach war die ESTV auch berechtigt, betreffend die offenen Beträge (Restschuld von Fr. von Fr. 2'872.95 aus der EA Nr. ... über Fr. 8'993.95, zuzüglich Verzugszins, für das 2. - 4. Quartal 2003 sowie die Steuerschuld für das 1. Quartal 2004 in Höhe von 679.55) die Betreibungen einzuleiten (Art. 69 Abs. 1 MWSTG; vgl. allgemein zur Zuständigkeit des Bundesverwaltungsgerichts zur Beurteilung der Frage nach der Rechtmässigkeit der Einleitung einer Betreibung: Urteile des Bundesverwaltungsgerichts A-6354/2007 vom 6. November 2007, A-4192/2007 vom 19. September 2007 E. 22 f.; Entscheid der SRK vom 28. Oktober 2002, veröffentlicht in VPB 67.53 E. 4c mit Hinweisen). Für einen Rückzug derselben besteht demzufolge kein Anlass.</w:t>
      </w:r>
    </w:p>
    <w:p>
      <w:r>
        <w:rPr>
          <w:b/>
        </w:rPr>
        <w:t>E. 4</w:t>
      </w:r>
    </w:p>
    <w:p>
      <w:r>
        <w:t>Der Beschwerdeführer wendet sich schliesslich gegen die Auflage der Kosten im Umfang von Fr. 240.-- für das Einspracheverfahren betreffend 2. - 4. Quartal 2003 (Vorsteuerabzug / Einlageentsteuerung) sowie Fr. 230.-- für dasjenige betreffend 1. Quartal 2004 (Verrechnung).</w:t>
      </w:r>
    </w:p>
    <w:p>
      <w:r>
        <w:rPr>
          <w:b/>
        </w:rPr>
        <w:t>E. 4.1</w:t>
      </w:r>
    </w:p>
    <w:p>
      <w:r>
        <w:t>Im Veranlagungs- und im Einspracheverfahren werden in der Regel keine Kosten erhoben und keine Parteientschädigungen ausgerichtet (Art. 68 Abs. 1 MWSTG); vom Grundsatz der Kostenlosigkeit wird jedoch dann abgewichen, wenn der Steuerpflichtige das Verfahren schuldhaft verursacht hat (vgl. Peter A. Müller-Stoll, mwst.com, Kommentar zum Bundesgesetz über die Mehrwertsteuer, Basel 2000, N. 3 zu Art. 68). Gemäss Rechtsprechung rechtfertigt sich eine solche Ausnahme von der Kostenlosigkeit namentlich dann, wenn ein Steuerpflichtiger seinen Mitwirkungspflichten nicht nachgekommen ist und beispielsweise ein Beweismittel, mithin die Mehrwertsteuerabrechnung, nicht oder zu spät, also erst im Verlaufe des Einsprache- oder Beschwerdeverfahrens, eingereicht hat (Urteile des Bundesverwaltungsgerichts A-1446/2006 vom 24. Januar 2008 E. 2.2, A-1435/2006 / A-1584/2006 vom 20. Februar 2007 E. 2.1, je mit Hinweisen), oder wenn er die Bezahlung der Steuerschuld ungerechtfertigterweise verweigert hat (Entscheide der SRK vom 5. August 2003 [SRK 2003-083] und vom 12. Januar 2004 [SRK 2003-134]). Überdies sieht Art. 68 Abs. 2 MWSTG vor, dass die Kosten von Untersuchungshandlungen ohne Rücksicht auf den Ausgang des Verfahrens derjenigen Partei auferlegt werden können, die sie schuldhaft verursacht hat.</w:t>
      </w:r>
    </w:p>
    <w:p>
      <w:r>
        <w:rPr>
          <w:b/>
        </w:rPr>
        <w:t>E. 4.2</w:t>
      </w:r>
    </w:p>
    <w:p>
      <w:r>
        <w:t>Zwar hat der Beschwerdeführer betreffend die geltend gemachten Vorsteuerabzüge für das 2. - 4. Quartal 2003 die einverlangten Unterlagen (Rechnungen bzw. Belege) trotz mehrmaliger Aufforderung durch die ESTV nicht eingereicht und ist sowohl bezüglich der EA Nr. ... vom 17. August 2004 bzw. der darin aufgeführten, noch zu begleichenden Restschuld von Fr. 2'872.95 als auch betreffend die deklarierte Steuerschuld von Fr. 679.55 für das 1. Quartal 2004 seinen Zahlungspflichten nicht nachgekommen. Ferner hat er die erforderlichen Belege auch in den beiden Einspracheverfahren nicht beigebracht. Dies ändert jedoch nichts daran, dass die ESTV so oder anders je ein Entscheid- bzw. Einspracheverfahren hätte durchführen müssen. Der Beschwerdeführer war der Meinung, zur Vornahme des Vorsteuerabzugs (Einlageentsteuerung auf dem Inventarwert der Werkstatt sowie Vorsteuerabzug auf regulären Investitionen) auch ohne entsprechende (Rechnungs-)Belege berechtigt zu sein bzw. das vermeintliche Guthaben aus den Steuerperioden 2. - 4. Quartal 2003 mit der Steuerschuld für das 1. Quartal 2004 verrechnen zu können. Die ESTV hätte demnach ohnehin über diese Fragen materiell entscheiden müssen, selbst wenn sich der Beschwerdeführer an seine sich ihm aufgrund des Selbstveranlagungsprinzips obliegenden Pflichten gehalten und einen anfechtbaren Entscheid verlangt oder die Restschuld gemäss EA Nr. ... vom 17. August 2004 sowie die in der Abrechnung für das 1. Quartal 2004 ausgewiesene Steuerforderung bloss unter Vorbehalt bezahlt hätte. Ein zusätzlicher übermässiger Aufwand, der sich aus dem Verhalten des Beschwerdeführers für die ESTV ergeben hat und eine Kostenauferlegung rechtfertigen würde, ist zudem nicht ersichtlich und wird von ihr auch nicht geltend gemacht. Unter diesen Umständen kann die gestützt auf Art. 68 Abs. 1 MWSTG (ausnahmsweise) erfolgte Auferlegung der Kosten für die Einspracheverfahren nicht geschützt werden (vgl. E. 4.1 hievor). Eine solche ist schliesslich auch nicht in Anwendung von Art. 68 Abs. 2 MWSTG zu bejahen. Den Akten kann in keiner Weise entnommen werden, dass im Rahmen der Einspracheverfahren irgendwelche Untersuchungshandlungen seitens der ESTV erforderlich gewesen wären, welche der Beschwerdeführer verschuldet hätte. Die angefochtenen Einspracheentscheide sind somit in diesem Punkt aufzuheben.</w:t>
      </w:r>
    </w:p>
    <w:p>
      <w:r>
        <w:rPr>
          <w:b/>
        </w:rPr>
        <w:t>E. 5</w:t>
      </w:r>
    </w:p>
    <w:p>
      <w:r>
        <w:t>Nach dem Gesagten sind die Beschwerden einzig hinsichtlich der Auferlegung von Verfahrenskosten in den Einspracheverfahren gutzuheissen, im Übrigen jedoch abzuweisen. Bei diesem Verfahrensausgang hat der Beschwerdeführer nur in einem untergeordneten Punkt obsiegt. Ausserdem hat er den Antrag auf Aufhebung der Verfahrenskosten nicht weiter substanziert, weshalb ihm diesbezüglich auch gar kein Aufwand entstanden ist. Aus diesem Grund sind ihm als im Hauptpunkt unterliegende Partei sämtliche Verfahrenskosten für das vereinigte Beschwerdeverfahren vor der SRK bzw. dem Bundesverwaltungsgericht aufzuerlegen (vgl. Art. 63 Abs. 1 VwVG). Der Betrag von insgesamt Fr. 1'800.-- ist mit den geleisteten Kostenvorschüssen von Fr. 1'800.-- (Fr. 500.-- sowie Fr. 1'300.--) zu verrechnen. Aus demselben Grund ist ferner auf die Zusprechung einer (reduzierten) Parteientschädigung zu verzichten (Art. 64 Abs. 1 VwVG und Art. 7 Abs. 1 und 2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