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A-1475/2018 vom 1. Juli 2019</w:t>
      </w:r>
    </w:p>
    <w:p>
      <w:r>
        <w:t>Bundesverwaltungsgericht, 2019-07-01, DE</w:t>
      </w:r>
    </w:p>
    <w:p>
      <w:r>
        <w:rPr>
          <w:b/>
        </w:rPr>
        <w:t xml:space="preserve">Quelle: </w:t>
      </w:r>
      <w:r>
        <w:t>https://mcp.opencaselaw.ch/entscheid/bvger_A-1475_2018</w:t>
      </w:r>
    </w:p>
    <w:p>
      <w:r>
        <w:t>FR: TAF A-1475/2018 du 1 juillet 2019</w:t>
      </w:r>
    </w:p>
    <w:p>
      <w:r>
        <w:t>IT: TAF A-1475/2018 del 1 luglio 2019</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(Art. 23 des Elektrizitätsgesetzes vom 24. Juni 1902 [EleG, SR 734.0] und Art. 31 ff. des Verwaltungsgerichtsgesetzes vom 17. Juni 2005 [VGG, SR 173.32]).</w:t>
      </w:r>
    </w:p>
    <w:p>
      <w:r>
        <w:rPr>
          <w:b/>
        </w:rPr>
        <w:t>E. 1.2</w:t>
      </w:r>
    </w:p>
    <w:p>
      <w:r>
        <w:t>Die Beschwerdeführerin ist Adressatin der angefochtenen Verfügung und durch diese auch materiell beschwert. Sie ist damit nach Art. 48 Abs. 1 des Verwaltungsverfahrensgesetzes vom 20. Dezember 1968 (VwVG, SR 172.021) zur Beschwerde berechtigt.</w:t>
      </w:r>
    </w:p>
    <w:p>
      <w:r>
        <w:rPr>
          <w:b/>
        </w:rPr>
        <w:t>E. 1.3</w:t>
      </w:r>
    </w:p>
    <w:p>
      <w:r>
        <w:t>Auf die im Übrigen frist- und formgerecht eingereichte Beschwerde (Art. 50 Abs. 1 und Art. 52 Abs.1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3.1</w:t>
      </w:r>
    </w:p>
    <w:p>
      <w:r>
        <w:t>Die Beschwerdeführerin beantragt in prozessualer Hinsicht, einen Augenschein durchzuführen sowie ein Gutachten und Amtsauskünfte einzuholen.</w:t>
      </w:r>
    </w:p>
    <w:p>
      <w:r>
        <w:rPr>
          <w:b/>
        </w:rPr>
        <w:t>E. 3.2</w:t>
      </w:r>
    </w:p>
    <w:p>
      <w:r>
        <w:t>Die Behörde stellt den rechtserheblichen Sachverhalt, unter Vorbehalt der Mitwirkungspflicht der Parteien (Art. 13 und 52 VwVG), von Amtes wegen fest und bedient sich nötigenfalls verschiedener Beweismittel (Art. 12 VwVG). Eine Behörde hat die ihr angebotenen Beweise nur dann abzunehmen, wenn diese zur Abklärung des Sachverhalts tauglich erscheinen (Art. 33 Abs. 1 VwVG). Angebotene Beweise müssen dagegen nicht abgenommen werden, wenn sie entweder eine rechtlich nicht erhebliche Frage betreffen oder wenn sie von vorneherein am festgestellten Ergebnis nichts zu ändern vermögen (sog. antizipierte Beweiswürdigung; BGE 136 I 229 E. 5.3, 134 I 140 E. 5.3; statt vieler Urteil des BVGer A-5278/2018 vom 29. Januar 2019 E. 3.1; Moser/Beusch/Kneubühler, Prozessieren vor dem Bundesverwaltungsgericht, 2. Aufl. 2013, Rz. 3.144, Jérôme Candrian, Introduction à la procédure administrative fédérale, 2013, N. 61 S. 43 f.).</w:t>
      </w:r>
    </w:p>
    <w:p>
      <w:r>
        <w:rPr>
          <w:b/>
        </w:rPr>
        <w:t>E. 3.3</w:t>
      </w:r>
    </w:p>
    <w:p>
      <w:r>
        <w:t>In Berücksichtigung der nachstehenden Ausführungen lässt sich der Sachverhalt mit genügender Klarheit den vorliegenden Akten entnehmen. Es ist nicht angezeigt, einen Augenschein durchzuführen oder ein Gutachten einzuholen, da es sich bereits aus den Akten ergibt, dass der geforderte Sicherheitsnachweis in technischer Hinsicht grundsätzlich erbracht werden kann. Vom zuständigen Konkursamt liesse sich allenfalls der Verfahrensstand des Konkursverfahrens hinsichtlich der Liegenschaft (...) 7 erfahren. Am Ausgang des vorliegenden Verfahrens würde sich aber dadurch nichts ändern. Auf die Abnahme der offerierten Beweismittel ist demnach zu verzichten.</w:t>
      </w:r>
    </w:p>
    <w:p>
      <w:r>
        <w:rPr>
          <w:b/>
        </w:rPr>
        <w:t>E. 4.1</w:t>
      </w:r>
    </w:p>
    <w:p>
      <w:r>
        <w:t>Die Beschwerdeführerin stellt die Kontrollpflichten und die ihr als Eigentümerin obliegende Pflicht, für die fristgerechte Einreichung des Sicherheitsnachweises zu sorgen, nicht grundsätzlich in Frage. Sie beruft sich in der Beschwerde jedoch auf ihre spezielle Situation, welcher Rechnung zu tragen sei. Sie bringt vor, die Liegenschaften (...) 1 und 3 seien technisch fest verbunden mit der Liegenschaft (...) 7, welche nicht in ihrem Eigentum stehe. Der Sicherheitsnachweis könne nur für alle drei Liegenschaften gemeinsam erbracht werden.</w:t>
      </w:r>
    </w:p>
    <w:p>
      <w:r>
        <w:rPr>
          <w:b/>
        </w:rPr>
        <w:t>E. 4.2</w:t>
      </w:r>
    </w:p>
    <w:p>
      <w:r>
        <w:t>Gemäss Art. 20 Abs. 1 EleG ist der Betriebsinhaber (Eigentümer, Pächter usw.) für die Beaufsichtigung der elektrischen Anlagen und die Überwachung ihres einwandfreien Zustandes verantwortlich. Der Eigentümer oder der von ihm bezeichnete Vertreter muss auf Verlangen den entsprechenden Sicherheitsnachweis erbringen (Art. 5 Abs. 1 der Verordnung über elektrische Niederspannungsinstallationen vom 7. November 2001 [NIV, SR 734.27]).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überträgt die Netzbetreiberin der Vorinstanz die Durchsetzung der periodischen Kontrolle (Art. 36 Abs. 1 und 3 NIV).</w:t>
      </w:r>
    </w:p>
    <w:p>
      <w:r>
        <w:rPr>
          <w:b/>
        </w:rPr>
        <w:t>E. 4.3</w:t>
      </w:r>
    </w:p>
    <w:p>
      <w:r>
        <w:t>Die Beschwerdeführerin ist Eigentümerin der mit elektrischen Niederspannungsinstallationen ausgestatteten Liegenschaften (...) 1 und 3 (...). Die Netzbetreiberin forderte sie am 21. April 2016 auf, den Sicherheitsnachweis für jene Liegenschaften einzureichen. Zwei Mahnungen folgten am 16. November 2016 und am 20. März 2017. Die formellen Voraussetzungen für die Übergabe der Angelegenheit an die Vorinstanz (Aufforderung und zweimalige Mahnung) sind vorliegend erfüllt. Weiter hat die Beschwerdeführerin die mit Schreiben der Vorinstanz vom 20. September 2017 angesetzte Frist verstreichen lassen, ohne den geforderten Sicherheitsnachweis einzureichen. Als Eigentümerin trägt die Beschwerdeführerin die Verantwortung, dass die elektrischen Installationen der genannten Liegenschaften ständig den gesetzlichen Anforderungen entsprechen und ihr obliegt die Pflicht, den Nachweis über den korrekten Zustand zu erbringen. Was die Beschwerdeführerin dagegen vorbringt, vermag nicht zu überzeugen. In technischer Hinsicht verfügen die Liegenschaften (...) 1 und 3 über einen eigenen Stromzähler (Zähler Nr. [...]) genauso wie die beiden Wohnungen (...) 1 (Zähler Nr. [...]). Bei diesen Gegebenheiten ist es nicht einsichtig und wird von der Beschwerdeführerin auch nicht substantiiert aufgezeigt, dass der geforderte Sicherheitsnachweis technisch unmöglich wäre resp. nur gemeinsam mit der Liegenschaft (...) 7 erbracht werden könnte. Die Vorinstanz hat somit zu Recht, die Beschwerdeführerin zur Einreichung des Sicherheitsnachweises aufgefordert.</w:t>
      </w:r>
    </w:p>
    <w:p>
      <w:r>
        <w:rPr>
          <w:b/>
        </w:rPr>
        <w:t>E. 5.1</w:t>
      </w:r>
    </w:p>
    <w:p>
      <w:r>
        <w:t>Des Weiteren legt die Beschwerdeführerin dar, sie beabsichtige, den Sicherheitsnachweis gemeinsam für alle drei Liegenschaften einzureichen, sobald sie die Liegenschaft (...) 7, die derzeit unter Konkursverwaltung stehe, freihändig erworben und anschliessend saniert habe. Unter diesem Gesichtspunkt rügt sie das Vorgehen der Vorinstanz auch als unverhältnismässig.</w:t>
      </w:r>
    </w:p>
    <w:p>
      <w:r>
        <w:rPr>
          <w:b/>
        </w:rPr>
        <w:t>E. 5.2</w:t>
      </w:r>
    </w:p>
    <w:p>
      <w:r>
        <w:t>Die Vorinstanz kann in Ausnahmefällen Abweichungen von den Kontrollperioden bewilligen (Art. 36 Abs. 4 NIV). Massgebend für ein allfälliges Abweichen von den Kontrollperioden gemäss Art. 36 Abs. 4 NIV ist, ob die Sicherheit von Personen und Sachen weiterhin gewährleistet ist. Eine Verlängerung ist im Zusammenhang mit Gesamterneuerungen oder Umbauten nicht ausgeschlossen. Nach der Rechtsprechung des Bundesgerichts würde der Grundsatz der ständig zu gewährleistenden Sicherheit jedoch untergraben, wenn das Einreichen eines Sicherheitsnachweises über Jahre hinausgeschoben werden könnte mit der blossen Berufung auf (mögliche) Sanierungen und Umbauten. Es bezeichnete im konkreten Fall eine Zeitspanne von drei Jahren als ausreichend, um das Erbringen des Sicherheitsnachweises mit den geplanten baulichen Massnahmen abzustimmen. Zudem dürfe eine Abweichung von den Kontrollperioden durch die Vorinstanz regelmässig nur dann in Betracht fallen, wenn Klarheit über allfällige Mängel bestehe, diese nicht unverzüglich behoben werden müssten und der Eigentümer belege, dass eine Mängelbeseitigung innert nützlicher Frist erfolgen werde (Urteil des BGer 2C_922/2012 vom 5. März 2013 E. 3.3). Dies entspricht ebenfalls der Rechtsprechung des Bundesverwaltungsgerichts (vgl. Urteil des BVGer A-1546/2017 vom 17. Januar 2018 E. 5.1 mit Hinweisen).</w:t>
      </w:r>
    </w:p>
    <w:p>
      <w:r>
        <w:rPr>
          <w:b/>
        </w:rPr>
        <w:t>E. 5.3</w:t>
      </w:r>
    </w:p>
    <w:p>
      <w:r>
        <w:t>Auch in Berücksichtigung des von der Beschwerdeführerin angerufenen Verhältnismässigkeitsgrundsatzes kann vorliegend mit der Erbringung des Sicherheitsnachweises für die Liegenschaften (...) 1 und 3 nicht abgewartet werden, bis die Beschwerdeführerin den Kauf und die Sanierung der Liegenschaft (...) 7 abgeschlossen hat. So ist einerseits zu berücksichtigen, dass nicht bekannt ist, ob die elektrischen Niederspannungsinstallationen der Liegenschaften (...) 1 und 3 Mängel aufweisen, die allenfalls unverzüglich behoben werden müssten. Wie bereits dargelegt, ist es technisch möglich, den geforderten Sicherheitsnachweis nur für diese beiden Liegenschaften zu erbringen. Anderseits erscheint es bei den vorliegenden Gegebenheiten ungewiss, ob es der Beschwerdeführerin tatsächlich gelingt, die Liegenschaft (...) 7 im Konkursverfahren freihändig zu erwerben und deren Sanierung innert nützlicher Frist abzuschliessen. Unter diesen Umständen würde eine Verlängerung im Ergebnis bedeuten, den Sicherheitsnachweis für die Liegenschaften (...) 1 und 3 auf unbestimmte Zeit zu verschieben. Dies würde den Grundsatz der ständig zu gewährleistenden Sicherheit zu stark untergraben. Dem Begehren der Beschwerdeführerin, zunächst den Kauf und die Sanierung der Liegenschaft (...) 7 abzuwarten, ist daher nicht zu folgen.</w:t>
      </w:r>
    </w:p>
    <w:p>
      <w:r>
        <w:rPr>
          <w:b/>
        </w:rPr>
        <w:t>E. 6.1</w:t>
      </w:r>
    </w:p>
    <w:p>
      <w:r>
        <w:t>Die Vorinstanz ist gemäss Art. 41 NIV berechtigt, für die Kontrolltätigkeit und für Verfügungen nach dieser Verordnung Gebühren zu erheben. Soweit die Beschwerdeführerin die ihr auferlegte Gebühr bestreitet, ist diese dem Grundsatz nach nicht zu beanstanden. Zu prüfen bleibt deren Höhe.</w:t>
      </w:r>
    </w:p>
    <w:p>
      <w:r>
        <w:rPr>
          <w:b/>
        </w:rPr>
        <w:t>E. 6.2</w:t>
      </w:r>
    </w:p>
    <w:p>
      <w:r>
        <w:t>Betreffend die Höhe der Gebühr verweist Art. 41 NIV auf Art. 9 und 10 der Verordnung vom 7. Dezember 1992 über das Eidgenössische Starkstrominspektorat (ESTI-Verordnung, SR 734.24). Danach betragen die Gebühren für den Erlass einer Verfügung höchstens Fr. 3'000.- und sind nach dem tatsächlich entstandenen Aufwand zu bemessen (Art. 9 Abs. 1 ESTI-Verordnung). Innerhalb des von der ESTI-Verordnung vorgegebenen Gebührenrahmens kommt der Vorinstanz ein erheblicher Ermessensspielraum zu (vgl. statt vieler Urteil des BVGer A-1621/2018 vom 11. Februar 2019 E. 3.6.1).</w:t>
      </w:r>
    </w:p>
    <w:p>
      <w:r>
        <w:rPr>
          <w:b/>
        </w:rPr>
        <w:t>E. 6.3</w:t>
      </w:r>
    </w:p>
    <w:p>
      <w:r>
        <w:t>Die der Beschwerdeführerin auferlegte Gebühr von Fr. 700.- zuzüglich Fr. 32.- für Auslagen bewegt sich im unteren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insgesamt Fr. 732.- als angemessen. Die Gebühr ist somit auch der Höhe nach nicht zu beanstanden (vgl. auch Urteile des BVGer A-6093/2017 vom 10. April 2019 E. 5, A-1621/2018 vom 11. Februar 2019 E. 3.6.2 und A-5942/2017 vom 14. März 2018 E. 6.2; vgl. ferner Urteil des BGer 2C_1063/2013 vom 2. Juni 2014 E. 4.2).</w:t>
      </w:r>
    </w:p>
    <w:p>
      <w:r>
        <w:rPr>
          <w:b/>
        </w:rPr>
        <w:t>E. 7</w:t>
      </w:r>
    </w:p>
    <w:p>
      <w:r>
        <w:t>Aus den dargelegten Gründen erweist sich die Beschwerde insgesamt als unbegründet und ist abzuweisen. Aus den vorstehenden Erwägungen folgt, dass die Beschwerdeführerin weiterhin verpflichtet ist, den periodischen Sicherheitsnachweis zu erbringen (sofern sie dies in der Zwischenzeit nicht bereits getan hat). Die ihr von der Vorinstanz angesetzte Frist ist inzwischen verstrichen. Es ist ihr deshalb eine neue Frist von zwei Monaten ab Rechtskraft des vorliegenden Urteils anzusetzen, um den geforderten Sicherheitsnachweis der Netzbetreiberin zuzustellen.</w:t>
      </w:r>
    </w:p>
    <w:p>
      <w:r>
        <w:rPr>
          <w:b/>
        </w:rPr>
        <w:t>E. 8.1</w:t>
      </w:r>
    </w:p>
    <w:p>
      <w:r>
        <w:t>Bei diesem Ausgang des Verfahrens gilt die Beschwerdeführerin als unterliegend, weshalb sie die Verfahrenskosten zu tragen hat (Art. 63 Abs. 1 VwVG). Diese werden auf Fr. 800.- festgesetzt (Art. 1 ff. des Reglements vom 21. Februar 2008 über die Kosten und Entschädigungen vor dem Bundesverwaltungsgericht [VGKE, SR 173.320.2]).</w:t>
      </w:r>
    </w:p>
    <w:p>
      <w:r>
        <w:rPr>
          <w:b/>
        </w:rPr>
        <w:t>E. 8.2</w:t>
      </w:r>
    </w:p>
    <w:p>
      <w:r>
        <w:t>Angesichts ihres Unterliegens steht der Beschwerdeführerin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