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A-146/2015 vom 25. September 2015</w:t>
      </w:r>
    </w:p>
    <w:p>
      <w:r>
        <w:t>Bundesverwaltungsgericht, 2015-09-25, FR</w:t>
      </w:r>
    </w:p>
    <w:p>
      <w:r>
        <w:rPr>
          <w:b/>
        </w:rPr>
        <w:t xml:space="preserve">Quelle: </w:t>
      </w:r>
      <w:r>
        <w:t>https://mcp.opencaselaw.ch/entscheid/bvger_A-146_2015</w:t>
      </w:r>
    </w:p>
    <w:p>
      <w:r>
        <w:t>FR: TAF A-146/2015 du 25 septembre 2015</w:t>
      </w:r>
    </w:p>
    <w:p>
      <w:r>
        <w:t>IT: TAF A-146/2015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344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également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à laquelle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du recourant a été établi selon un critère objectif, c'est-à-dire en fonction de sa surface (108.30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w:t>
      </w:r>
    </w:p>
    <w:p>
      <w:r>
        <w:rPr>
          <w:b/>
        </w:rPr>
        <w:t>E. 6.3.2</w:t>
      </w:r>
    </w:p>
    <w:p>
      <w:r>
        <w:t>En outre, le montant du dédommagement fixé en l'espèce par l'autorité inférieure (1'353 fr. 75, sans supplément/déduction), pour un quatre pièces, dépasse légèrement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76 % de ce montant. Ce dépassement s'explique néanmoins par la surface habitable de 108.30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1'353 fr. 75, pour un 4 pièces de 108.30 m2 à (...) (agglomération de Genève), reste faible au regard de la prestation fournie.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trois étapes (150 francs au 1er janvier 2015, 150 francs au 1er janvier 2016, puis 44 francs supplémentaires au 1er janvier 2017).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