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A-145/2015 vom 30. September 2015</w:t>
      </w:r>
    </w:p>
    <w:p>
      <w:r>
        <w:t>Bundesverwaltungsgericht, 2015-09-30, FR</w:t>
      </w:r>
    </w:p>
    <w:p>
      <w:r>
        <w:rPr>
          <w:b/>
        </w:rPr>
        <w:t xml:space="preserve">Quelle: </w:t>
      </w:r>
      <w:r>
        <w:t>https://mcp.opencaselaw.ch/entscheid/bvger_A-145_2015</w:t>
      </w:r>
    </w:p>
    <w:p>
      <w:r>
        <w:t>FR: TAF A-145/2015 du 30 septembre 2015</w:t>
      </w:r>
    </w:p>
    <w:p>
      <w:r>
        <w:t>IT: TAF A-145/2015 del 30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126 francs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recourant s'est vu attribuer un logement de service, à la douane de (...), afin qu'il puisse remplir au mieux ses obligations professionnelles. Il résulte à cet égard de l'art. 21 al. 1 let. b LPers que les dispositions d'exécution peuvent prévoir que l'employé doit, si sa fonction l'exige, occuper un appartement de fonction. Cela étant, l'obligation ainsi posée constitue d'abord une charge imposée à l'Etat. En d'autres termes, l'agent des douanes a le droit à un logement de service, en fonction des besoins du service et des logements libres disponibles (ch. 1.1 des Instructions de la Direction générale des douanes du 1er septembre 2014 - Logements de service et logements locatifs). Pour sa part, le recourant expose qu'il n'a toutefois actuellement plus aucune contrainte professionnelle particulière et qu'il travaille d'ailleurs à (...). Son logement ne lui serait dès lors aujourd'hui plus d'aucune utilité professionnelle. Cette objection n'est pas pertinente à dire de droit. Elle est d'abord douteuse en fait, au regard de la surchauffe du marché locatif à Genève, car la proximité de son logement avec son lieu travail est manifeste (3.6 km). Ensuite, le logement (de service) occupé par le recourant est attribué aux seuls membres du Cgfr afin qu'ils puissent remplir au mieux leurs obligations professionnelles, au vu des contraintes liées à leur fonction (services de piquet, tâches de surveillance, etc. ; voir ég. Feuille fédérale [FF] 1999 I 1443). Il ne constituait pas - et ne constitue pas - en soi une contrainte, mais une mise en oeuvre par l'Etat des obligations de proximité qui sont imposées à ses agents par leur fonction. Par son attribution même au recourant, l'utilisation du logement n° (...)/GE est dans un rapport étroit, direct et fonctionnel avec le service de l'Etat. Et, conformément au principe du parallélisme des formes (cf. ATF 126 V 183 consid. 5b, ATF 112 Ia 136 consid. 3c, ATF 108 Ia 178 consid. 3d), la compétence reconnue à l'autorité inférieure par le recourant d'attribuer un logement de service aux membres du Cgfr qui en ont besoin, implique donc également la compétence de statuer sur les modifications du dédommagement mensuel de celui-ci, toujours en sa qualité d'autorité investie de la puissance publique. En vertu du principe de la primauté du droit public sur le droit privé, la seule voie de droit fédéral qui peut entrer en considération est donc celle ouverte par le droit public. Il faut par ailleurs insister sur le fait que le recourant peut renoncer en tout temps à cette soumission au droit public et qu'il lui suffit de déposer une dispense à cet effet (cf. Directives de l'Administration fédérale des douanes du 1er septembre 2014 sur la dispense de l'obligation d'habiter un logement de service accordée aux membres du Cgfr). La dispense est cependant définitive et elle ne peut être annulée qu'exceptionnellement et sur demande (cf. ch. 2.1 des directives précitées).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et l'avis de majoration d'un loyer est remplacé par les règles prévalant en droit public, quant au respect du droit d'être entendu, qui offrent une garantie supérieure à ce titre.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a été vu que, selon l'art. 21 al. 1 let. b LPers,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Ensuite, les départements fixent les modalités dans leur domaine d'activité.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 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(art. 59 al. 1 O-OPers).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et peuvent déroger aux règles fixées aux art. 253 ss et 269 CO (art. 21 al. 1 let. b LPers). L'O 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w:t>
      </w:r>
    </w:p>
    <w:p>
      <w:r>
        <w:rPr>
          <w:b/>
        </w:rPr>
        <w:t>E. 6.1</w:t>
      </w:r>
    </w:p>
    <w:p>
      <w:r>
        <w:t>Dans un premier moyen, de nature formelle, le recourant reproche à l'autorité inférieure de ne pas avoir pris en compte ses vacances, lors de la communication de l'avis d'augmentation du dédommagement de son logement de service en date du 29 septembre 2014, et de ne pas lui avoir adressé une copie de cet acte par courrier A après avoir constaté qu'il n'avait pas été en mesure de le retirer. Il y voit une violation grave de son droit d'être entendu. L'autorité inférieure lui oppose qu'il ne pouvait ignorer la prochaine notification de cet acte, compte tenu des informations internes sur la hausse prochaine des dédommagements des logements de service.</w:t>
      </w:r>
    </w:p>
    <w:p>
      <w:r>
        <w:rPr>
          <w:b/>
        </w:rPr>
        <w:t>E. 6.2.1</w:t>
      </w:r>
    </w:p>
    <w:p>
      <w:r>
        <w:t>Le droit d'être entendu, tel qu'il est garanti à l'art. 29 al. 2 Cst. et à l'art. 29 PA,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135 I 279 consid. 2.3, ATF 135 I 187 consid. 2.2, ATF 133 I 270 consid. 3.1 ; plus récemment : arrêt du Tribunal fédéral 2C_879/2014 du 17 avril 2015 consid. 2.2 ; arrêts du Tribunal administratif fédéral A-4784/2014 du 20 mai 2015 consid. 3.2.1, A 4232/2013 du 17 décembre 2013 consid. 3.1.2). En tant que droit de participation, le droit d'être entendu englobe donc tous les droits qui doivent être attribués à une partie pour qu'elle puisse faire valoir efficacement son point de vue dans une procédure (cf. ATF 132 II 485 consid. 3.2, ATF 129 II 497 consid. 2.2). La possibilité de faire valoir ses arguments dans une procédure suppose nécessairement la connaissance préalable des éléments dont l'autorité dispose, et a fortiori la connaissance de l'existence même d'une procédure</w:t>
      </w:r>
    </w:p>
    <w:p>
      <w:r>
        <w:rPr>
          <w:b/>
        </w:rPr>
        <w:t>E. 6.2.2</w:t>
      </w:r>
    </w:p>
    <w:p>
      <w:r>
        <w:t>S'agissant du mode de communication de l'autorité, un envoi recommandé, tel celui portant l'avis informatif du 29 septembre 2014, est réputé notifié à la date à laquelle son destinataire le reçoit effectivement. Lorsque le destinataire d'une notification n'est pas atteint et qu'un avis de retrait est déposé dans sa boîte aux lettres ou dans sa case postale, l'envoi est considéré comme notifié au moment où il est retiré. Si le retrait n'a pas lieu dans le délai de garde de sept jours (art. 20 al. 2bis PA), l'envoi est réputé notifié le dernier jour de ce délai pour autant que le destinataire devait s'attendre à cette notification. Cette jurisprudence n'est cependant applicable que lorsque la notification d'un acte officiel doit être attendue avec une certaine vraisemblance (ATF 138 III 225 consid. 3.1, ATF 134 V 49 consid. 4 ; arrêt du Tribunal administratif fédéral A-648/2014 du 16 janvier 2015 consid. 2.2.1 ; André Moser/Michael Beusch/Lorenz Kneubühler, Prozessieren vor dem Bundesverwaltungsgericht, 2ème éd., 2013, n. 2.116, Jérôme Candrian, Introduction à la procédure administrative fédérale, 2013, p. 21 ch. marg. 30). Tel est le cas lorsqu'une procédure en cours impose aux parties de se comporter conformément aux règles de la bonne foi, à savoir de faire en sorte, notamment, que les décisions relatives à la procédure puissent leur être notifiées (ATF 130 III 396 consid. 1.2.3). Au cas d'espèce, le point de savoir si le recourant n'avait aucune raison particulière de s'attendre à la notification de l'avis d'augmentation du dédommagement de son logement de service ou de prendre des mesures particulières pour faire suivre son courrier durant ses vacances peut rester ouvert pour les motifs qui suivent.</w:t>
      </w:r>
    </w:p>
    <w:p>
      <w:r>
        <w:rPr>
          <w:b/>
        </w:rPr>
        <w:t>E. 6.2.3</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(arrêt du Tribunal administratif fédéral A-1323/2014 du 20 janvier 2015 consid. 4.1.2). La réparation d'un vice éventuel doit cependant demeurer l'exception (ATF 127 V 431 consid. 3d/aa, ATF 126 V 130 consid. 2b), en particulier lorsqu'il s'agit d'une violation grave. Néanmoins, même en cas de violation grave du droit d'être entendu, un renvoi de la cause pour des motifs d'ordre formel à l'instance précédente peut être exclu, par économie de procédure, lorsque cela retarderait inutilement un jugement définitif sur le litige (ATF 132 V 387 consid. 5.1). Le recourant ne prétend pas, à raison, que le pouvoir d'examen du Tribunal administratif fédéral concernant les questions sur lesquelles porte la violation du droit d'être entendu serait moins étendu que celui de l'autorité inférieure et qu'une réparation du vice serait exclue pour ce motif. Il soutient en revanche que, s'agissant d'un vice grave nécessitant le cas échéant un transport sur place, le présent Tribunal ne serait pas autorisé à admettre que celui-ci peut été réparé pour des raisons d'économie de procédure. En l'espèce, devrait-elle être reconnue, la violation du droit d'être entendu invoquée par le recourant ne revêtirait pas la gravité qu'il lui prête. Le Tribunal a en outre offert au recourant la possibilité de participer activement à deux échanges d'écritures complets et il en a dûment fait usage. A ces occasions, il a été en mesure d'élever l'ensemble de ses griefs et l'autorité inférieure a clairement pris position à leurs égards. Dans ces circonstances et quand bien-même le présent Tribunal aurait admis la violation du droit d'être entendu, un renvoi de la cause pour de seuls motifs d'ordre formel à l'autorité inférieure ne ferait que retarder inutilement un jugement définitif sur le litige. A cet égard, il convient dès lors de statuer sur le fond de la cause.</w:t>
      </w:r>
    </w:p>
    <w:p>
      <w:r>
        <w:rPr>
          <w:b/>
        </w:rPr>
        <w:t>E. 7.1</w:t>
      </w:r>
    </w:p>
    <w:p>
      <w:r>
        <w:t>Le recourant affirme, en substance, que les modalités fixées dans les directives du DFF pour estimer le dédommagement de son logement de service aboutissent un résultat excessif et sans réelle justification. Le logement de service ne serait en effet pas entretenu correctement, car destiné à être démoli dans le cadre du projet d'extension du tram entre le CERN et la France, il serait situé dans une zone de développement, à proximité d'un centre sportif bruyant, le chauffage tomberait en panne régulièrement en hiver, l'appartement serait humide, la cave subirait régulièrement des inondations et il y aurait notamment un fort trafic automobile à proximité.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Celui-ci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Les dédommagements perçus pour l'usage particulier d'un bien appartenant à l'Etat sont en revanche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(69.10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l'Office fédéral de la statistique 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(863 fr. 75 [69.10 m2 x 150 fr./m2 / 12], hors supplément/déduction), pour un quatre pièces, reste dans la fourchette de 70 % du loyer d'objets comparables selon les usages locaux. En effet, le loyer moyen de l'ensemble des logements de 4 pièces (et non 5 pièces, comme l'affirme le recourant ; cf. feuille de relevé établie par l'architecte), dans le canton de Genève, est de 1'446 francs (cf. Annuaire statistique du canton de Genève, 2013, T 05.15 p. 126 « loyer libre »). Le dédommagement fixé par l'autorité inférieure représente donc 60 % de ce montant. Dans le canton de Genève, un quatre pièces (cuisine comprise) présente par ailleurs une surface comprise entre 71 m2 et 83 m2 et une surface moyenne de 78 m2 (cf. Office cantonal genevois de la statistique, Communications statistiques, Surfaces et loyers des logements dans le canton de Genève, Statistique cantonale des loyers de mai 2005, p. 8, T - 01 Surface moyenne des logements en 2005). La surface du logement de service attribué au recourant (69.10 m2) n'est ainsi que légèrement inférieure à la moyenne statistique. A cela s'ajoute que le recourant admet qu'il bénéficie en réalité d'un appartement de 75.19 m2 (cf. mémoire de recours, p. 3 ch. 5), mais que les directives du DFF - qui lui sont favorables à cet égard - conduisent à ne retenir que 69.10 m2.</w:t>
      </w:r>
    </w:p>
    <w:p>
      <w:r>
        <w:rPr>
          <w:b/>
        </w:rPr>
        <w:t>E. 7.3.3</w:t>
      </w:r>
    </w:p>
    <w:p>
      <w:r>
        <w:t>Dans ces circonstances, le dédommagement fixé par l'autorité inférieure n'apparaît pas hors de proportion avec la prestation octroyée, ce qui permet de se dispenser de toute mesure d'instruction supplémentaire.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dans une zone de développement le long d'une voie de circulation transfrontalière. Il n'y a dès lors pas lieu de procéder à des déductions supplémentaires pour ces motifs, ceux-ci étant inhérents aux tâches que doivent remplir les gardes-frontière (et donc déjà pris en compte par les directives 2013 du DFF), et le recourant n'a pas apporté d'indices suffisants, malgré les occasions offertes, que son logement de service présenterait actuellement des alentours défavorables ou serait particulièrement isolé. La présence d'un centre sportif à proximité ne saurait de toute évidence être déterminante à cet égard. Il est au contraire indéniable que le fait de vivre à proximité immédiate d'une ville de la taille de Genève présente des avantages majeurs, en terme de qualité de vie, d'éducation, de culture, de loisirs, d'infrastructures, etc. Il est par ailleurs tout aussi incontestable que ces avantages entraînent de manière notoire les loyers de l'agglomération à la hausse et qu'un dédommagement mensuel de 863 fr. 75 (hors supplément/déduction), de nos jours, n'est pas critiquable en soi. Pour le surplus, le recourant occupe une maison mitoyenne avec jardin et les directives 2013 du DFF prévoient expressément un supplément s'élevant jusqu'à 20 % pour ce type de maison (cf. Directives 2013 du DFF, ch. 3.5 al. 2). En fixant le supplément à 10 % à ce titre et en refusant d'accorder au recourant toute déduction pour l'occupation de son logement de service, l'autorité inférieure n'a dès lors manifestement pas outrepassé son pouvoir d'appréciation. Il ne paraît enfin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DGD du 1er septembre 2014 [Logements de service et logements locatifs], ch. 1.19 ss). L'Office fédéral des constructions et de la logistique OFCL exerce enfin - quant à lui - la haute surveillance des bâtiments de la Confédération (cf. Instructions 2014 de la DGD, ch. 1.16). Les différents griefs du recourant seront par conséquent rejetés.</w:t>
      </w:r>
    </w:p>
    <w:p>
      <w:r>
        <w:rPr>
          <w:b/>
        </w:rPr>
        <w:t>E. 7.4</w:t>
      </w:r>
    </w:p>
    <w:p>
      <w:r>
        <w:t>Au vu des considérants qui précèdent, la décision attaquée est conforme au droit et le recours s'avère mal fondé.</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